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C7AE" w14:textId="77777777" w:rsidR="00B273C5" w:rsidRDefault="00000000">
      <w:pPr>
        <w:pStyle w:val="Title"/>
        <w:jc w:val="center"/>
      </w:pPr>
      <w:r>
        <w:rPr>
          <w:rFonts w:ascii="Arial" w:eastAsia="Arial" w:hAnsi="Arial"/>
        </w:rPr>
        <w:t>POLICY BRIEF</w:t>
      </w:r>
    </w:p>
    <w:p w14:paraId="1DE04CA8" w14:textId="77777777" w:rsidR="00B273C5" w:rsidRDefault="00000000">
      <w:pPr>
        <w:pStyle w:val="Title"/>
        <w:jc w:val="center"/>
      </w:pPr>
      <w:r>
        <w:rPr>
          <w:rFonts w:ascii="Arial" w:eastAsia="Arial" w:hAnsi="Arial"/>
        </w:rPr>
        <w:t>Boise Robot-Enabled Operations Pilot Ordinance</w:t>
      </w:r>
    </w:p>
    <w:p w14:paraId="40E998FB" w14:textId="77777777" w:rsidR="00B273C5" w:rsidRDefault="00000000">
      <w:pPr>
        <w:pStyle w:val="Subtitle"/>
        <w:jc w:val="center"/>
      </w:pPr>
      <w:r>
        <w:rPr>
          <w:rFonts w:ascii="Arial" w:eastAsia="Arial" w:hAnsi="Arial"/>
        </w:rPr>
        <w:t>A city-ready pilot framework for commercial and managed residential properties</w:t>
      </w:r>
    </w:p>
    <w:p w14:paraId="5C9EA7C1" w14:textId="77777777" w:rsidR="00B273C5" w:rsidRDefault="00000000">
      <w:pPr>
        <w:pStyle w:val="Subtitle"/>
        <w:jc w:val="center"/>
      </w:pPr>
      <w:r>
        <w:rPr>
          <w:rFonts w:ascii="Arial" w:eastAsia="Arial" w:hAnsi="Arial"/>
        </w:rPr>
        <w:t>Target audience: Boise City Council</w:t>
      </w:r>
    </w:p>
    <w:p w14:paraId="4D967765" w14:textId="77777777" w:rsidR="00B273C5" w:rsidRDefault="00000000">
      <w:pPr>
        <w:pStyle w:val="Subtitle"/>
        <w:jc w:val="center"/>
      </w:pPr>
      <w:r>
        <w:t>Prepared by Lisa Wood Studio | March 2026</w:t>
      </w:r>
    </w:p>
    <w:p w14:paraId="206F4731" w14:textId="77777777" w:rsidR="00B273C5" w:rsidRDefault="00000000">
      <w:pPr>
        <w:pStyle w:val="Subtitle"/>
        <w:jc w:val="center"/>
      </w:pPr>
      <w:r>
        <w:rPr>
          <w:rFonts w:ascii="Arial" w:eastAsia="Arial" w:hAnsi="Arial"/>
        </w:rPr>
        <w:t>Built from official Boise, Austin, Utah, Riverside, Fremont, Arizona, Texas, and deployment sources reviewed against the attached Idaho research packet.</w:t>
      </w:r>
    </w:p>
    <w:p w14:paraId="680AF30C" w14:textId="77777777" w:rsidR="00B273C5" w:rsidRDefault="00B273C5"/>
    <w:p w14:paraId="071B01CF" w14:textId="77777777" w:rsidR="00B273C5" w:rsidRDefault="00000000">
      <w:pPr>
        <w:jc w:val="center"/>
      </w:pPr>
      <w:r>
        <w:rPr>
          <w:color w:val="464646"/>
        </w:rPr>
        <w:t>Core design choice: live deployments anchor the operational case; near-term market signals stay labeled as forward-looking.</w:t>
      </w:r>
    </w:p>
    <w:p w14:paraId="32210BA3" w14:textId="77777777" w:rsidR="00B273C5" w:rsidRDefault="00000000">
      <w:r>
        <w:br w:type="page"/>
      </w:r>
    </w:p>
    <w:p w14:paraId="38C830DA" w14:textId="77777777" w:rsidR="00B273C5" w:rsidRDefault="00000000">
      <w:r>
        <w:lastRenderedPageBreak/>
        <w:t>Purpose in one line: give Boise City Council a sponsor-ready pilot ordinance that authorizes robot-enabled operations in occupied commercial and managed residential properties before end-2026 deployment pressure arrives.</w:t>
      </w:r>
    </w:p>
    <w:p w14:paraId="7306DD5B" w14:textId="77777777" w:rsidR="00B273C5" w:rsidRDefault="00000000">
      <w:r>
        <w:t>Working premise: hospitals, hotels, campuses, senior living communities, and logistics operators already use indoor and site-scale robotics; Boise has building, fire, and AI-governance tools, while a city permit pathway for physical systems remains open for Council action.</w:t>
      </w:r>
    </w:p>
    <w:p w14:paraId="6966D4CE" w14:textId="77777777" w:rsidR="00B273C5" w:rsidRDefault="00000000">
      <w:r>
        <w:t>Scope choice: "managed residential" covers multifamily common areas, student housing, senior living, hotels, mixed-use residential towers, and similar professionally managed properties where shared circulation, life-safety, accessibility, privacy, and staffing issues converge.</w:t>
      </w:r>
    </w:p>
    <w:p w14:paraId="28FEE0A4" w14:textId="77777777" w:rsidR="00B273C5" w:rsidRDefault="00000000">
      <w:pPr>
        <w:pStyle w:val="Heading1"/>
      </w:pPr>
      <w:r>
        <w:rPr>
          <w:rFonts w:ascii="Arial" w:eastAsia="Arial" w:hAnsi="Arial"/>
        </w:rPr>
        <w:t>Document Snapshot</w:t>
      </w:r>
    </w:p>
    <w:tbl>
      <w:tblPr>
        <w:tblStyle w:val="TableGrid"/>
        <w:tblW w:w="0" w:type="auto"/>
        <w:jc w:val="center"/>
        <w:tblBorders>
          <w:top w:val="single" w:sz="6" w:space="0" w:color="D0D7DE"/>
          <w:left w:val="single" w:sz="6" w:space="0" w:color="D0D7DE"/>
          <w:bottom w:val="single" w:sz="6" w:space="0" w:color="D0D7DE"/>
          <w:right w:val="single" w:sz="6" w:space="0" w:color="D0D7DE"/>
          <w:insideH w:val="single" w:sz="6" w:space="0" w:color="D0D7DE"/>
          <w:insideV w:val="single" w:sz="6" w:space="0" w:color="D0D7DE"/>
        </w:tblBorders>
        <w:tblLayout w:type="fixed"/>
        <w:tblLook w:val="04A0" w:firstRow="1" w:lastRow="0" w:firstColumn="1" w:lastColumn="0" w:noHBand="0" w:noVBand="1"/>
      </w:tblPr>
      <w:tblGrid>
        <w:gridCol w:w="2736"/>
        <w:gridCol w:w="7056"/>
      </w:tblGrid>
      <w:tr w:rsidR="00B273C5" w14:paraId="743B744E" w14:textId="77777777">
        <w:trPr>
          <w:jc w:val="center"/>
        </w:trPr>
        <w:tc>
          <w:tcPr>
            <w:tcW w:w="2736" w:type="dxa"/>
            <w:shd w:val="clear" w:color="auto" w:fill="F3F6F9"/>
            <w:tcMar>
              <w:top w:w="90" w:type="dxa"/>
              <w:left w:w="110" w:type="dxa"/>
              <w:bottom w:w="90" w:type="dxa"/>
              <w:right w:w="110" w:type="dxa"/>
            </w:tcMar>
            <w:vAlign w:val="center"/>
          </w:tcPr>
          <w:p w14:paraId="54FCCC71" w14:textId="77777777" w:rsidR="00B273C5" w:rsidRDefault="00000000">
            <w:r>
              <w:rPr>
                <w:b/>
                <w:color w:val="1F4E79"/>
              </w:rPr>
              <w:t>Final word count</w:t>
            </w:r>
          </w:p>
        </w:tc>
        <w:tc>
          <w:tcPr>
            <w:tcW w:w="7056" w:type="dxa"/>
            <w:tcMar>
              <w:top w:w="90" w:type="dxa"/>
              <w:left w:w="110" w:type="dxa"/>
              <w:bottom w:w="90" w:type="dxa"/>
              <w:right w:w="110" w:type="dxa"/>
            </w:tcMar>
            <w:vAlign w:val="center"/>
          </w:tcPr>
          <w:p>
            <w:r>
              <w:t>5,829 words</w:t>
            </w:r>
          </w:p>
        </w:tc>
      </w:tr>
      <w:tr w:rsidR="00B273C5" w14:paraId="5086DB3C" w14:textId="77777777">
        <w:trPr>
          <w:jc w:val="center"/>
        </w:trPr>
        <w:tc>
          <w:tcPr>
            <w:tcW w:w="2736" w:type="dxa"/>
            <w:shd w:val="clear" w:color="auto" w:fill="F3F6F9"/>
            <w:tcMar>
              <w:top w:w="90" w:type="dxa"/>
              <w:left w:w="110" w:type="dxa"/>
              <w:bottom w:w="90" w:type="dxa"/>
              <w:right w:w="110" w:type="dxa"/>
            </w:tcMar>
            <w:vAlign w:val="center"/>
          </w:tcPr>
          <w:p w14:paraId="27E9C40F" w14:textId="77777777" w:rsidR="00B273C5" w:rsidRDefault="00000000">
            <w:r>
              <w:rPr>
                <w:b/>
                <w:color w:val="1F4E79"/>
              </w:rPr>
              <w:t>Rendered pages</w:t>
            </w:r>
          </w:p>
        </w:tc>
        <w:tc>
          <w:tcPr>
            <w:tcW w:w="7056" w:type="dxa"/>
            <w:tcMar>
              <w:top w:w="90" w:type="dxa"/>
              <w:left w:w="110" w:type="dxa"/>
              <w:bottom w:w="90" w:type="dxa"/>
              <w:right w:w="110" w:type="dxa"/>
            </w:tcMar>
            <w:vAlign w:val="center"/>
          </w:tcPr>
          <w:p>
            <w:r>
              <w:t>15 pages</w:t>
            </w:r>
          </w:p>
        </w:tc>
      </w:tr>
      <w:tr w:rsidR="00B273C5" w14:paraId="5437F78A" w14:textId="77777777">
        <w:trPr>
          <w:jc w:val="center"/>
        </w:trPr>
        <w:tc>
          <w:tcPr>
            <w:tcW w:w="2736" w:type="dxa"/>
            <w:shd w:val="clear" w:color="auto" w:fill="F3F6F9"/>
            <w:tcMar>
              <w:top w:w="90" w:type="dxa"/>
              <w:left w:w="110" w:type="dxa"/>
              <w:bottom w:w="90" w:type="dxa"/>
              <w:right w:w="110" w:type="dxa"/>
            </w:tcMar>
            <w:vAlign w:val="center"/>
          </w:tcPr>
          <w:p w14:paraId="609562BD" w14:textId="77777777" w:rsidR="00B273C5" w:rsidRDefault="00000000">
            <w:r>
              <w:rPr>
                <w:b/>
                <w:color w:val="1F4E79"/>
              </w:rPr>
              <w:t>Two-sentence summary</w:t>
            </w:r>
          </w:p>
        </w:tc>
        <w:tc>
          <w:tcPr>
            <w:tcW w:w="7056" w:type="dxa"/>
            <w:tcMar>
              <w:top w:w="90" w:type="dxa"/>
              <w:left w:w="110" w:type="dxa"/>
              <w:bottom w:w="90" w:type="dxa"/>
              <w:right w:w="110" w:type="dxa"/>
            </w:tcMar>
            <w:vAlign w:val="center"/>
          </w:tcPr>
          <w:p>
            <w:r>
              <w:t>Boise can authorize robot-enabled operations through a short city pilot that uses existing permitting, fire review, accessibility, privacy, and complaint-handling tools. Later state cleanup to Idaho’s PDD statute could help with site-edge transitions, but Boise does not need that cleanup to authorize in-building and private-site operations now.</w:t>
            </w:r>
          </w:p>
        </w:tc>
      </w:tr>
      <w:tr w:rsidR="00B273C5" w14:paraId="701016C6" w14:textId="77777777">
        <w:trPr>
          <w:jc w:val="center"/>
        </w:trPr>
        <w:tc>
          <w:tcPr>
            <w:tcW w:w="2736" w:type="dxa"/>
            <w:shd w:val="clear" w:color="auto" w:fill="F3F6F9"/>
            <w:tcMar>
              <w:top w:w="90" w:type="dxa"/>
              <w:left w:w="110" w:type="dxa"/>
              <w:bottom w:w="90" w:type="dxa"/>
              <w:right w:w="110" w:type="dxa"/>
            </w:tcMar>
            <w:vAlign w:val="center"/>
          </w:tcPr>
          <w:p w14:paraId="02204A3E" w14:textId="77777777" w:rsidR="00B273C5" w:rsidRDefault="00000000">
            <w:r>
              <w:rPr>
                <w:b/>
                <w:color w:val="1F4E79"/>
              </w:rPr>
              <w:t>Strongest points</w:t>
            </w:r>
          </w:p>
        </w:tc>
        <w:tc>
          <w:tcPr>
            <w:tcW w:w="7056" w:type="dxa"/>
            <w:tcMar>
              <w:top w:w="90" w:type="dxa"/>
              <w:left w:w="110" w:type="dxa"/>
              <w:bottom w:w="90" w:type="dxa"/>
              <w:right w:w="110" w:type="dxa"/>
            </w:tcMar>
            <w:vAlign w:val="center"/>
          </w:tcPr>
          <w:p w14:paraId="2BCCEF96" w14:textId="77777777" w:rsidR="00B273C5" w:rsidRDefault="00000000">
            <w:r>
              <w:rPr>
                <w:sz w:val="20"/>
              </w:rPr>
              <w:t>City-ready and sponsor-readable; commercial plus managed-residential scope; Boise 4.30q risk tiers; Austin-style human review and worker protections; Fremont and Riverside pilot logic; live proof from Moxi, Relay, Starship, DoorDash Dot, senior living, and Amazon.</w:t>
            </w:r>
          </w:p>
        </w:tc>
      </w:tr>
      <w:tr w:rsidR="00B273C5" w14:paraId="71D727E1" w14:textId="77777777">
        <w:trPr>
          <w:jc w:val="center"/>
        </w:trPr>
        <w:tc>
          <w:tcPr>
            <w:tcW w:w="2736" w:type="dxa"/>
            <w:shd w:val="clear" w:color="auto" w:fill="F3F6F9"/>
            <w:tcMar>
              <w:top w:w="90" w:type="dxa"/>
              <w:left w:w="110" w:type="dxa"/>
              <w:bottom w:w="90" w:type="dxa"/>
              <w:right w:w="110" w:type="dxa"/>
            </w:tcMar>
            <w:vAlign w:val="center"/>
          </w:tcPr>
          <w:p w14:paraId="34468D23" w14:textId="77777777" w:rsidR="00B273C5" w:rsidRDefault="00000000">
            <w:r>
              <w:rPr>
                <w:b/>
                <w:color w:val="1F4E79"/>
              </w:rPr>
              <w:t>Policy documents reviewed</w:t>
            </w:r>
          </w:p>
        </w:tc>
        <w:tc>
          <w:tcPr>
            <w:tcW w:w="7056" w:type="dxa"/>
            <w:tcMar>
              <w:top w:w="90" w:type="dxa"/>
              <w:left w:w="110" w:type="dxa"/>
              <w:bottom w:w="90" w:type="dxa"/>
              <w:right w:w="110" w:type="dxa"/>
            </w:tcMar>
            <w:vAlign w:val="center"/>
          </w:tcPr>
          <w:p w14:paraId="11A13E13" w14:textId="77777777" w:rsidR="00B273C5" w:rsidRDefault="00000000">
            <w:r>
              <w:rPr>
                <w:sz w:val="20"/>
              </w:rPr>
              <w:t>Boise 4.30q; Boise building and fire review materials; Austin 12/23/25 AI memo; Utah AI Learning Lab; Riverside 1/16/26 action; Fremont 3/3/26 rollout; Arizona HB 2813 summaries; Texas SB 2807 text and analysis.</w:t>
            </w:r>
          </w:p>
        </w:tc>
      </w:tr>
      <w:tr w:rsidR="00B273C5" w14:paraId="7A40298E" w14:textId="77777777">
        <w:trPr>
          <w:jc w:val="center"/>
        </w:trPr>
        <w:tc>
          <w:tcPr>
            <w:tcW w:w="2736" w:type="dxa"/>
            <w:shd w:val="clear" w:color="auto" w:fill="F3F6F9"/>
            <w:tcMar>
              <w:top w:w="90" w:type="dxa"/>
              <w:left w:w="110" w:type="dxa"/>
              <w:bottom w:w="90" w:type="dxa"/>
              <w:right w:w="110" w:type="dxa"/>
            </w:tcMar>
            <w:vAlign w:val="center"/>
          </w:tcPr>
          <w:p w14:paraId="6621DFCB" w14:textId="77777777" w:rsidR="00B273C5" w:rsidRDefault="00000000">
            <w:r>
              <w:rPr>
                <w:b/>
                <w:color w:val="1F4E79"/>
              </w:rPr>
              <w:t>Successful use cases reviewed</w:t>
            </w:r>
          </w:p>
        </w:tc>
        <w:tc>
          <w:tcPr>
            <w:tcW w:w="7056" w:type="dxa"/>
            <w:tcMar>
              <w:top w:w="90" w:type="dxa"/>
              <w:left w:w="110" w:type="dxa"/>
              <w:bottom w:w="90" w:type="dxa"/>
              <w:right w:w="110" w:type="dxa"/>
            </w:tcMar>
            <w:vAlign w:val="center"/>
          </w:tcPr>
          <w:p w14:paraId="3C934EBB" w14:textId="77777777" w:rsidR="00B273C5" w:rsidRDefault="00000000">
            <w:r>
              <w:rPr>
                <w:sz w:val="20"/>
              </w:rPr>
              <w:t>University of Utah + Starship; Arizona State + Starship; DoorDash Dot in Tempe/Mesa; Moxi hospitals; Relay hospitals/hotels; Direct Supply/Sabra senior living; Amazon robotics and Houston Sequoia; Optimus as a timing signal.</w:t>
            </w:r>
          </w:p>
        </w:tc>
      </w:tr>
    </w:tbl>
    <w:p w14:paraId="0A8733AF" w14:textId="77777777" w:rsidR="00B273C5" w:rsidRDefault="00B273C5"/>
    <w:p w14:paraId="7FD6873A" w14:textId="77777777" w:rsidR="00B273C5" w:rsidRDefault="00000000">
      <w:pPr>
        <w:pStyle w:val="Heading1"/>
      </w:pPr>
      <w:r>
        <w:rPr>
          <w:rFonts w:ascii="Arial" w:eastAsia="Arial" w:hAnsi="Arial"/>
        </w:rPr>
        <w:t>Key Points</w:t>
      </w:r>
    </w:p>
    <w:p w14:paraId="640EC749" w14:textId="77777777" w:rsidR="00B273C5" w:rsidRDefault="00000000">
      <w:pPr>
        <w:ind w:left="360" w:hanging="259"/>
      </w:pPr>
      <w:r>
        <w:rPr>
          <w:b/>
        </w:rPr>
        <w:t xml:space="preserve">• </w:t>
      </w:r>
      <w:r>
        <w:t>Boise already has the core ingredients for a workable framework: adopted building and fire codes, commercial and residential plan review, fire operational permits, and a January 2026 AI regulation that already uses risk-based review and meaningful human oversight inside city operations.</w:t>
      </w:r>
    </w:p>
    <w:p w14:paraId="2600283E" w14:textId="77777777" w:rsidR="00B273C5" w:rsidRDefault="00000000">
      <w:pPr>
        <w:ind w:left="360" w:hanging="259"/>
      </w:pPr>
      <w:r>
        <w:rPr>
          <w:b/>
        </w:rPr>
        <w:t xml:space="preserve">• </w:t>
      </w:r>
      <w:r>
        <w:t>Boise lacks one thing that decision-makers can actually pass now: a short ordinance that translates those tools into a permit path for embodied systems moving through hallways, common areas, service corridors, loading zones, elevators, and other occupied spaces.</w:t>
      </w:r>
    </w:p>
    <w:p w14:paraId="6F149B80" w14:textId="77777777" w:rsidR="00B273C5" w:rsidRDefault="00000000">
      <w:pPr>
        <w:ind w:left="360" w:hanging="259"/>
      </w:pPr>
      <w:r>
        <w:rPr>
          <w:b/>
        </w:rPr>
        <w:lastRenderedPageBreak/>
        <w:t xml:space="preserve">• </w:t>
      </w:r>
      <w:r>
        <w:t>The clean scope is commercial and managed residential property. Council authority is strongest where occupancy, egress, accessibility, charging, complaints, business operations, and emergency response converge.</w:t>
      </w:r>
    </w:p>
    <w:p w14:paraId="049E7A8F" w14:textId="77777777" w:rsidR="00B273C5" w:rsidRDefault="00000000">
      <w:pPr>
        <w:ind w:left="360" w:hanging="259"/>
      </w:pPr>
      <w:r>
        <w:rPr>
          <w:b/>
        </w:rPr>
        <w:t xml:space="preserve">• </w:t>
      </w:r>
      <w:r>
        <w:t>The clean policy move is barrier removal with conditions scaled to risk. Tier 1 operations move through a light permit path. Tier 2 and Tier 3 operations add privacy, employment, or sensitive-space controls only where the use case requires them.</w:t>
      </w:r>
    </w:p>
    <w:p w14:paraId="4ED07992" w14:textId="77777777" w:rsidR="00B273C5" w:rsidRDefault="00000000">
      <w:pPr>
        <w:ind w:left="360" w:hanging="259"/>
      </w:pPr>
      <w:r>
        <w:rPr>
          <w:b/>
        </w:rPr>
        <w:t xml:space="preserve">• </w:t>
      </w:r>
      <w:r>
        <w:t>The strongest workforce language already exists in public materials. Austin’s December 23, 2025 memo pairs human review, employee notice, audit obligations, and appeal rights in a form Boise can borrow directly for employment-adjacent robotics uses.</w:t>
      </w:r>
    </w:p>
    <w:p w14:paraId="2ED4A3AB" w14:textId="77777777" w:rsidR="00B273C5" w:rsidRDefault="00000000">
      <w:pPr>
        <w:ind w:left="360" w:hanging="259"/>
      </w:pPr>
      <w:r>
        <w:rPr>
          <w:b/>
        </w:rPr>
        <w:t xml:space="preserve">• </w:t>
      </w:r>
      <w:r>
        <w:t>The strongest pilot logic already exists in public materials. Utah’s AI Learning Lab supplies the learning-and-adjustment frame; Riverside shows a city ordinance path for safe device operations; Fremont shows phased scaling from a small supervised launch to a larger autonomous fleet.</w:t>
      </w:r>
    </w:p>
    <w:p w14:paraId="2E97917E" w14:textId="77777777" w:rsidR="00B273C5" w:rsidRDefault="00000000">
      <w:pPr>
        <w:ind w:left="360" w:hanging="259"/>
      </w:pPr>
      <w:r>
        <w:rPr>
          <w:b/>
        </w:rPr>
        <w:t xml:space="preserve">• </w:t>
      </w:r>
      <w:r>
        <w:t>The strongest operational proof already exists in live deployments. Moxi serves U.S. hospitals, Relay serves hospitals and hotels, Starship serves university campuses including Utah and Arizona, and Direct Supply/Sabra shows managed-residential automation in senior living.</w:t>
      </w:r>
    </w:p>
    <w:p w14:paraId="07B5555C" w14:textId="77777777" w:rsidR="00B273C5" w:rsidRDefault="00000000">
      <w:pPr>
        <w:ind w:left="360" w:hanging="259"/>
      </w:pPr>
      <w:r>
        <w:rPr>
          <w:b/>
        </w:rPr>
        <w:t xml:space="preserve">• </w:t>
      </w:r>
      <w:r>
        <w:t>Optimus belongs in the brief as a timing signal. Tesla’s official materials support a before-end-2026 production window and a repetitive-task use case, while the successful-use-case section relies on systems already operating in real properties.</w:t>
      </w:r>
    </w:p>
    <w:p w14:paraId="529861F1" w14:textId="77777777" w:rsidR="00B273C5" w:rsidRDefault="00000000">
      <w:pPr>
        <w:pStyle w:val="Heading1"/>
      </w:pPr>
      <w:r>
        <w:rPr>
          <w:rFonts w:ascii="Arial" w:eastAsia="Arial" w:hAnsi="Arial"/>
        </w:rPr>
        <w:t>Executive Summary</w:t>
      </w:r>
    </w:p>
    <w:p w14:paraId="3AF24B3E" w14:textId="77777777" w:rsidR="00B273C5" w:rsidRDefault="00000000">
      <w:r>
        <w:t>Boise can act now through a city pilot ordinance that gives property owners, operators, residents, workers, vendors, and first responders a clear operating framework for robot-enabled operations in occupied commercial and managed residential properties. The ordinance belongs at the city level because the first legal questions are city questions: where the machine moves, how it charges, whether it preserves egress and accessible routes, what notice occupants receive when sensors operate, how complaints are handled, and which permit conditions apply when a site expands or changes use.</w:t>
      </w:r>
    </w:p>
    <w:p w14:paraId="7C3D6A8D" w14:textId="77777777" w:rsidR="00B273C5" w:rsidRDefault="00000000">
      <w:r>
        <w:t>The recommended ordinance accomplishes three objectives. First, it authorizes private-site and in-building robot-enabled operations through a predictable permit path that fits Boise’s existing Planning and Development Services and Fire Prevention infrastructure. Second, it uses a three-tier structure that scales privacy, employment, accessibility, and life-safety review to the actual use case instead of forcing every deployment through the same burden. Third, it gives Council a sunset-backed pilot with annual reporting so permanent policy can grow from local operating data rather than from abstract debate. Later state cleanup to Idaho’s personal-delivery-device statute could help with site-edge or sidewalk transitions, but Boise does not need that cleanup to authorize interior and private-site operations now.</w:t>
      </w:r>
    </w:p>
    <w:p w14:paraId="5B2DAC0A" w14:textId="77777777" w:rsidR="00B273C5" w:rsidRDefault="00000000">
      <w:r>
        <w:t>The strongest models come from official materials rather than from generic commentary. Boise’s own 4.30q regulation supplies risk tiers and meaningful human oversight. Austin’s December 23, 2025 memo supplies worker-facing protections, audit language, and appeal rights. Utah’s AI Learning Lab supplies the pilot-and-learning frame. Riverside and Fremont show how cities are already shaping permit-backed robotics operations in 2026.</w:t>
      </w:r>
    </w:p>
    <w:p w14:paraId="022DEF8D" w14:textId="77777777" w:rsidR="00B273C5" w:rsidRDefault="00000000">
      <w:r>
        <w:t>The strongest operational case also comes from real deployments rather than promises. Diligent Robotics reports Moxi in more than twenty-five hospitals with more than 1.25 million deliveries. Relay serves hospitals and hotels with more than one million deliveries and autonomous elevator operation. Starship reports more than nine million deliveries across campus and community settings, including University of Utah dining and Arizona State University campus service. Direct Supply and Sabra present a managed-residential automation case in senior living. Tesla Optimus appears in the brief as a timing signal because Tesla’s official materials support the near-term arrival case while current public municipal examples still center on other systems.</w:t>
      </w:r>
    </w:p>
    <w:p w14:paraId="374BA7A0" w14:textId="77777777" w:rsidR="00B273C5" w:rsidRDefault="00000000">
      <w:pPr>
        <w:pStyle w:val="Heading1"/>
      </w:pPr>
      <w:r>
        <w:rPr>
          <w:rFonts w:ascii="Arial" w:eastAsia="Arial" w:hAnsi="Arial"/>
        </w:rPr>
        <w:lastRenderedPageBreak/>
        <w:t>Research Methodology</w:t>
      </w:r>
    </w:p>
    <w:p w14:paraId="6C6A6FD4" w14:textId="77777777" w:rsidR="00B273C5" w:rsidRDefault="00000000">
      <w:r>
        <w:t>Research for this brief followed a three-phase process. Phase one identified official, enacted, or adopted sources with current force or clear operational relevance: Boise’s January 2026 AI regulation, Boise building and fire review materials, Austin’s December 2025 AI memo, Utah’s AI Learning Lab law and Office of AI materials, Riverside’s January 2026 ordinance action, Fremont’s March 2026 phased rollout announcement, Arizona’s HB 2813 summaries, and Texas’s SB 2807 text and analysis. Phase one also separated city-governance analogs from statewide automated-driving materials so the city brief stayed within Boise’s cleanest authority lane.</w:t>
      </w:r>
    </w:p>
    <w:p w14:paraId="4A510C87" w14:textId="77777777" w:rsidR="00B273C5" w:rsidRDefault="00000000">
      <w:r>
        <w:t>Phase two reviewed the sponsor-facing document pattern used in successful jurisdictions. Utah, Arizona, and Texas each moved official legislation through lean filing documents while advocacy materials circulated separately to help a sponsor move quickly. That pattern is the model here: a short persuasion case that makes the policy case and a model ordinance appendix that gives the City Attorney a drafting start point.</w:t>
      </w:r>
    </w:p>
    <w:p w14:paraId="225A8244" w14:textId="77777777" w:rsidR="00B273C5" w:rsidRDefault="00000000">
      <w:r>
        <w:t>Phase three stress-tested the operations case against live use cases. Current deployments were grouped into commercial buildings, hotels, hospitals, campuses, managed residential properties, and industrial facilities. Forward-looking items such as Optimus were kept in a clearly labeled market-signal lane. Live operating systems anchor the actual-use-case sections because those systems carry the strongest proof for Boise decision-makers.</w:t>
      </w:r>
    </w:p>
    <w:p w14:paraId="054441C6" w14:textId="77777777" w:rsidR="00B273C5" w:rsidRDefault="00000000">
      <w:pPr>
        <w:pStyle w:val="Heading1"/>
      </w:pPr>
      <w:r>
        <w:rPr>
          <w:rFonts w:ascii="Arial" w:eastAsia="Arial" w:hAnsi="Arial"/>
        </w:rPr>
        <w:t>Why Boise Should Act Now</w:t>
      </w:r>
    </w:p>
    <w:p w14:paraId="269BFEF4" w14:textId="77777777" w:rsidR="00B273C5" w:rsidRDefault="00000000">
      <w:r>
        <w:t>Boise faces a city-governance question with a short timeline. Embodied robotics already operate in hospitals, hotels, campuses, warehouses, and managed properties. Local decision-makers therefore benefit from acting before the first ad hoc deployment creates a conflict over elevator access, charging rooms, resident notice, camera use in common areas, blocked egress, or site-edge transitions between buildings and parking areas.</w:t>
      </w:r>
    </w:p>
    <w:p w14:paraId="4990AF0E" w14:textId="77777777" w:rsidR="00B273C5" w:rsidRDefault="00000000">
      <w:r>
        <w:t>Boise already has the governance vocabulary to act cleanly. The city’s January 26, 2026 AI regulation applies binding rules for responsible, safe, and ethical AI use, requires risk review, and uses meaningful human oversight for high-impact systems. Building and fire review materials already show where Boise reviews commercial plans, occupancy changes, and certain residential development questions. A robot-enabled operations permit simply translates those existing tools into a site-and-use-case framework for physical systems.</w:t>
      </w:r>
    </w:p>
    <w:p w14:paraId="4E9892D0" w14:textId="77777777" w:rsidR="00B273C5" w:rsidRDefault="00000000">
      <w:r>
        <w:t>Peer cities moved fast in the last six months. Austin adopted a detailed staff memo on December 23, 2025 that pairs human review, public audit disclosure, notice, and grievance rights with AI governance. Riverside advanced an ordinance framework on January 16, 2026 to guide safe and responsible personal delivery device operations. Fremont announced a phased rollout on March 3, 2026 that began with up to three chaperoned robots and then expanded through an amended permit path to as many as thirty autonomous robots with remote-operation capability.</w:t>
      </w:r>
    </w:p>
    <w:p w14:paraId="4E451086" w14:textId="77777777" w:rsidR="00B273C5" w:rsidRDefault="00000000">
      <w:r>
        <w:t>Live deployments make the timing concrete. University of Utah Dining and Arizona State University both use Starship delivery robots on campus. DoorDash launched Dot in Tempe and Mesa through an early access commercial program in September 2025 and has continued public rollout in greater Phoenix. Diligent Robotics and Relay show that robots already move supplies, medications, amenities, and equipment in occupied buildings where safety, privacy, accessibility, and staff coordination matter every day. Direct Supply and Sabra add a managed-residential example in senior living, where floor care and daily operations already intersect with resident well-being and staffing realities.</w:t>
      </w:r>
    </w:p>
    <w:p w14:paraId="4A97D226" w14:textId="77777777" w:rsidR="00B273C5" w:rsidRDefault="00000000">
      <w:r>
        <w:t xml:space="preserve">Optimus sharpens the timing argument. Tesla’s official AI page frames Optimus around unsafe, repetitive, and boring tasks, and Tesla’s January 2026 update reports production preparation with a before-end-2026 horizon. Boise therefore benefits from a permit framework that is ready before broader </w:t>
      </w:r>
      <w:r>
        <w:lastRenderedPageBreak/>
        <w:t>general-purpose systems enter procurement conversations for hotels, campuses, mixed-use buildings, senior living communities, and building-services contractors.</w:t>
      </w:r>
    </w:p>
    <w:p w14:paraId="3D65E41B" w14:textId="77777777" w:rsidR="00B273C5" w:rsidRDefault="00000000">
      <w:pPr>
        <w:pStyle w:val="Heading1"/>
      </w:pPr>
      <w:r>
        <w:rPr>
          <w:rFonts w:ascii="Arial" w:eastAsia="Arial" w:hAnsi="Arial"/>
        </w:rPr>
        <w:t>Current Law and the Gap</w:t>
      </w:r>
    </w:p>
    <w:p w14:paraId="08ECB3A8" w14:textId="77777777" w:rsidR="00B273C5" w:rsidRDefault="00000000">
      <w:r>
        <w:t>Boise’s legal position is strong enough to support a city pilot now. Idaho Constitution article XII, section 2 authorizes local police regulations that remain consistent with general laws. Boise’s existing building, fire, development, and operational permit tools already govern the use of occupied properties and the conditions under which commercial and certain residential projects move through review. Fire Prevention materials show ongoing city review of commercial buildings, occupancy changes, and specific fire-life-safety systems. Those tools are the natural administrative home for a robot-enabled operations permit.</w:t>
      </w:r>
    </w:p>
    <w:p w14:paraId="7BB4F152" w14:textId="77777777" w:rsidR="00B273C5" w:rsidRDefault="00000000">
      <w:r>
        <w:t>Boise’s January 2026 AI regulation contributes a second essential building block. The regulation covers city AI use, applies risk-based review, and treats high-risk uses as including employment-related decisions and automated decisions that substantially affect rights, benefits, or access without meaningful human oversight. Those concepts transfer well to embodied systems because a robot can influence privacy, access, staffing, and service allocation even when the mechanical device itself looks like a facilities tool rather than a software decision engine.</w:t>
      </w:r>
    </w:p>
    <w:p w14:paraId="679AC6F4" w14:textId="77777777" w:rsidR="00B273C5" w:rsidRDefault="00000000">
      <w:r>
        <w:t>Current Idaho personal-delivery-device law supplies only a partial answer. Idaho Code section 40-2305 authorizes outdoor device operation on sidewalks, crosswalks, and sides or berms of highways under specified conditions. That statute says little about cleaning robots in apartment towers, medication runners in hospitals, amenity-delivery robots in hotels, inspection robots in garages, supply runners on campuses, or service robots moving through senior living common areas. Interior circulation, charging, fire risk, camera notice, complaint handling, and employment-related use remain city questions. State-level cleanup could later help with site-edge or sidewalk transitions, but it is not a prerequisite for Boise to authorize interior and private-site operations now.</w:t>
      </w:r>
    </w:p>
    <w:p w14:paraId="37CF7BB2" w14:textId="77777777" w:rsidR="00B273C5" w:rsidRDefault="00000000">
      <w:r>
        <w:t>The actual gap is therefore practical rather than conceptual. Boise has authority over the place. Boise has code tools. Boise has AI-governance vocabulary. Boise still lacks a short ordinance that tells property operators what to file, tells reviewers what to check, tells residents and workers what protections apply, and tells Council how the pilot will be measured.</w:t>
      </w:r>
    </w:p>
    <w:p w14:paraId="2DC93B93" w14:textId="77777777" w:rsidR="00B273C5" w:rsidRDefault="00000000">
      <w:pPr>
        <w:pStyle w:val="Heading1"/>
      </w:pPr>
      <w:r>
        <w:rPr>
          <w:rFonts w:ascii="Arial" w:eastAsia="Arial" w:hAnsi="Arial"/>
        </w:rPr>
        <w:t>The Safety and Operational Case</w:t>
      </w:r>
    </w:p>
    <w:p w14:paraId="1BFF3D10" w14:textId="77777777" w:rsidR="00B273C5" w:rsidRDefault="00000000">
      <w:r>
        <w:t>Operational proof is already strong. Diligent Robotics reports that Moxi operates in more than twenty-five hospital facilities and has completed more than 1.25 million autonomous deliveries. Relay reports more than one million lifetime deliveries, more than 25,000 deliveries per month, 99.8 percent successful deliveries, and autonomous navigation through hallways, security doors, and elevators in hospitals and hotels. Starship reports more than nine million deliveries, more than 2,700 robots, and more than 270 locations, with more than sixty university campuses in its campus-delivery program. Those use cases demonstrate repeated operation around patients, guests, students, staff, and service teams rather than a single publicity event.</w:t>
      </w:r>
    </w:p>
    <w:p w14:paraId="29D64D4E" w14:textId="77777777" w:rsidR="00B273C5" w:rsidRDefault="00000000">
      <w:r>
        <w:t>Property types also matter. Hospitals prove safe operation in complex hallways with time-sensitive deliveries. Hotels prove guest-facing room-service and amenity delivery. University campuses prove route planning and repeated common-area interaction in a managed-residential context. Direct Supply and Sabra show that senior-living operators already evaluate workforce automation in resident settings. Amazon’s robotics program, including the Sequoia launch in Houston and the deployment of its one millionth robot by mid-2025, proves that large commercial operators already treat robotics as normal operating infrastructure.</w:t>
      </w:r>
    </w:p>
    <w:p w14:paraId="1D606F8C" w14:textId="77777777" w:rsidR="00B273C5" w:rsidRDefault="00000000">
      <w:r>
        <w:t xml:space="preserve">Safety benefits arrive through design discipline and site discipline working together. City policy cannot rewrite every hardware choice, and city policy does not need to. City policy can require a site safety plan, emergency stop access, remote-assistance contact, egress preservation, charging controls, fire review, signage, complaint handling, and stronger rules when the system captures identifiable-person </w:t>
      </w:r>
      <w:r>
        <w:lastRenderedPageBreak/>
        <w:t>data or influences employment actions. Those are the city levers that matter most in occupied properties.</w:t>
      </w:r>
    </w:p>
    <w:p w14:paraId="17A408E8" w14:textId="77777777" w:rsidR="00B273C5" w:rsidRDefault="00000000">
      <w:r>
        <w:t>Economic value follows the same pattern. The ordinance gives building owners, operators, vendors, and service contractors a lawful path to deploy repetitive-task systems where the business case already exists. Clear city rules reduce delay, reduce one-off negotiation, and create better conditions for insurance review, procurement, resident communication, and incident response.</w:t>
      </w:r>
    </w:p>
    <w:p w14:paraId="0AF664DB" w14:textId="77777777" w:rsidR="00B273C5" w:rsidRDefault="00000000">
      <w:pPr>
        <w:pStyle w:val="Heading2"/>
      </w:pPr>
      <w:r>
        <w:rPr>
          <w:rFonts w:ascii="Arial" w:eastAsia="Arial" w:hAnsi="Arial"/>
        </w:rPr>
        <w:t>Actual Successful Use Cases Reviewed</w:t>
      </w:r>
    </w:p>
    <w:p>
      <w:pPr/>
      <w:r>
        <w:t>These use cases matter because each one maps to a concrete ordinance choice. The question for Boise is not whether robots exist; the question is what kind of site rules, privacy conditions, accessibility protections, and accountability terms repeat across the deployments that already work.</w:t>
      </w:r>
    </w:p>
    <w:p w14:paraId="2987DE5B" w14:textId="77777777" w:rsidR="00B273C5" w:rsidRDefault="00000000">
      <w:pPr>
        <w:ind w:left="360" w:hanging="259"/>
      </w:pPr>
      <w:r>
        <w:t>• Utah — University of Utah Dining’s Starship program places autonomous delivery inside a managed campus environment where pedestrians, residence halls, dining demand, and repeated daily trips all intersect. For Boise, that is a direct analogy for student housing, mixed-use campus districts, and large private sites that need route maps, pickup points, complaint handling, and clear site contacts.</w:t>
      </w:r>
    </w:p>
    <w:p w14:paraId="5C6A16C2" w14:textId="77777777" w:rsidR="00B273C5" w:rsidRDefault="00000000">
      <w:pPr>
        <w:ind w:left="360" w:hanging="259"/>
      </w:pPr>
      <w:r>
        <w:t>• Arizona — Arizona State University’s continued Starship service matters because it shows that campus robots can move from novelty to routine operations in a large public university setting. The Boise lesson is durability: once a deployment works, the city needs permit terms that can manage an ongoing service rather than a one-time demonstration.</w:t>
      </w:r>
    </w:p>
    <w:p w14:paraId="6CF7F82D" w14:textId="77777777" w:rsidR="00B273C5" w:rsidRDefault="00000000">
      <w:pPr>
        <w:ind w:left="360" w:hanging="259"/>
      </w:pPr>
      <w:r>
        <w:t>• Arizona — DoorDash’s Dot launch in Tempe and Mesa matters because it is an expressly commercial rollout tied to a live delivery platform rather than an isolated pilot. The Boise lesson is that early local demand will likely center on repeated short-route service at restaurants, mixed-use properties, campuses, and managed sites that need defined operating areas and escalation contacts.</w:t>
      </w:r>
    </w:p>
    <w:p w14:paraId="7FF8BF2B" w14:textId="77777777" w:rsidR="00B273C5" w:rsidRDefault="00000000">
      <w:pPr>
        <w:ind w:left="360" w:hanging="259"/>
      </w:pPr>
      <w:r>
        <w:t>• Texas — Amazon’s Houston Sequoia deployment and broader robotics network show that large commercial operators already treat robotics as ordinary operating infrastructure. The Boise lesson is administrative: permitting should address docking, charging, maintenance, circulation, and accountability in the same practical way the city already reviews other site systems.</w:t>
      </w:r>
    </w:p>
    <w:p w14:paraId="04CAD953" w14:textId="77777777" w:rsidR="00B273C5" w:rsidRDefault="00000000">
      <w:pPr>
        <w:ind w:left="360" w:hanging="259"/>
      </w:pPr>
      <w:r>
        <w:t>• National commercial buildings — Relay is the strongest proof for guest-facing and staff-facing indoor service because its systems already work in hospitals and hotels, including autonomous hallway, door, and elevator interactions. For Boise, that maps directly to permit conditions on elevator priority, common-area movement, posted contacts, emergency-stop access, and complaint handling in occupied buildings.</w:t>
      </w:r>
    </w:p>
    <w:p w14:paraId="74FFECA3" w14:textId="77777777" w:rsidR="00B273C5" w:rsidRDefault="00000000">
      <w:pPr>
        <w:ind w:left="360" w:hanging="259"/>
      </w:pPr>
      <w:r>
        <w:t>• National hospitals — Moxi is the strongest proof for sensitive building environments because hospitals combine staff workflows, privacy expectations, and time-sensitive deliveries in busy corridors. For Boise, that supports enhanced review for robots operating near patient areas, treatment spaces, medications, lab samples, or other high-consequence tasks even when the robot itself is framed as a facilities tool.</w:t>
      </w:r>
    </w:p>
    <w:p w14:paraId="19261EDB" w14:textId="77777777" w:rsidR="00B273C5" w:rsidRDefault="00000000">
      <w:pPr>
        <w:ind w:left="360" w:hanging="259"/>
      </w:pPr>
      <w:r>
        <w:t>• Managed residential and senior living — The Direct Supply and Sabra work matters because it places workforce automation inside resident-serving properties where operations, dignity, and staffing pressures meet. For Boise, that is the clearest managed-residential analogy and the reason the ordinance treats senior living, multifamily common areas, and other shared residential spaces as a central use case rather than a side example.</w:t>
      </w:r>
    </w:p>
    <w:p w14:paraId="667A71ED" w14:textId="77777777" w:rsidR="00B273C5" w:rsidRDefault="00000000">
      <w:pPr>
        <w:ind w:left="360" w:hanging="259"/>
      </w:pPr>
      <w:r>
        <w:t>• Near-term general-purpose signal — Optimus belongs in the brief as a timing signal rather than as proof of current city operations. Tesla’s official materials support the case for a before-end-2026 production window and repetitive-task use, which means Boise benefits from having a permit framework in place before general-purpose systems reach local procurement conversations.</w:t>
      </w:r>
    </w:p>
    <w:p>
      <w:pPr/>
      <w:r>
        <w:t>Taken together, the use cases justify the ordinance’s tier logic. Hospital, hotel, and campus deployments support baseline site-safety rules; sensing and common-area exposure support Tier 2 privacy review; employment-adjacent and resident-sensitive uses support Tier 3 human-review, notice, and appeal conditions.</w:t>
      </w:r>
    </w:p>
    <w:p w14:paraId="02717E0C" w14:textId="77777777" w:rsidR="00B273C5" w:rsidRDefault="00000000">
      <w:pPr>
        <w:pStyle w:val="Heading1"/>
      </w:pPr>
      <w:r>
        <w:rPr>
          <w:rFonts w:ascii="Arial" w:eastAsia="Arial" w:hAnsi="Arial"/>
        </w:rPr>
        <w:t>Benchmark Comparison</w:t>
      </w:r>
    </w:p>
    <w:p w14:paraId="56FD49E1" w14:textId="77777777" w:rsidR="00B273C5" w:rsidRDefault="00000000">
      <w:r>
        <w:t>Official city and state materials converge on one usable pattern: narrow authorization, permit or review scaled to actual risk, clear operational responsibilities, and annual learning rather than permanent overdesign at the first step.</w:t>
      </w:r>
    </w:p>
    <w:tbl>
      <w:tblPr>
        <w:tblStyle w:val="TableGrid"/>
        <w:tblW w:w="0" w:type="auto"/>
        <w:jc w:val="center"/>
        <w:tblBorders>
          <w:top w:val="single" w:sz="6" w:space="0" w:color="C8D1DA"/>
          <w:left w:val="single" w:sz="6" w:space="0" w:color="C8D1DA"/>
          <w:bottom w:val="single" w:sz="6" w:space="0" w:color="C8D1DA"/>
          <w:right w:val="single" w:sz="6" w:space="0" w:color="C8D1DA"/>
          <w:insideH w:val="single" w:sz="6" w:space="0" w:color="C8D1DA"/>
          <w:insideV w:val="single" w:sz="6" w:space="0" w:color="C8D1DA"/>
        </w:tblBorders>
        <w:tblLayout w:type="fixed"/>
        <w:tblLook w:val="04A0" w:firstRow="1" w:lastRow="0" w:firstColumn="1" w:lastColumn="0" w:noHBand="0" w:noVBand="1"/>
      </w:tblPr>
      <w:tblGrid>
        <w:gridCol w:w="2088"/>
        <w:gridCol w:w="3744"/>
        <w:gridCol w:w="4104"/>
      </w:tblGrid>
      <w:tr w:rsidR="00B273C5" w14:paraId="6651D6C4" w14:textId="77777777">
        <w:trPr>
          <w:tblHeader/>
          <w:jc w:val="center"/>
        </w:trPr>
        <w:tc>
          <w:tcPr>
            <w:tcW w:w="2088" w:type="dxa"/>
            <w:shd w:val="clear" w:color="auto" w:fill="DCE6F1"/>
            <w:tcMar>
              <w:top w:w="80" w:type="dxa"/>
              <w:left w:w="110" w:type="dxa"/>
              <w:bottom w:w="80" w:type="dxa"/>
              <w:right w:w="110" w:type="dxa"/>
            </w:tcMar>
            <w:vAlign w:val="center"/>
          </w:tcPr>
          <w:p w14:paraId="4E082D6F" w14:textId="77777777" w:rsidR="00B273C5" w:rsidRDefault="00000000">
            <w:r>
              <w:rPr>
                <w:b/>
                <w:color w:val="1F4E79"/>
              </w:rPr>
              <w:t>Source</w:t>
            </w:r>
          </w:p>
        </w:tc>
        <w:tc>
          <w:tcPr>
            <w:tcW w:w="3744" w:type="dxa"/>
            <w:shd w:val="clear" w:color="auto" w:fill="DCE6F1"/>
            <w:tcMar>
              <w:top w:w="80" w:type="dxa"/>
              <w:left w:w="110" w:type="dxa"/>
              <w:bottom w:w="80" w:type="dxa"/>
              <w:right w:w="110" w:type="dxa"/>
            </w:tcMar>
            <w:vAlign w:val="center"/>
          </w:tcPr>
          <w:p w14:paraId="2AC3CCFF" w14:textId="77777777" w:rsidR="00B273C5" w:rsidRDefault="00000000">
            <w:r>
              <w:rPr>
                <w:b/>
                <w:color w:val="1F4E79"/>
              </w:rPr>
              <w:t>What it contributes</w:t>
            </w:r>
          </w:p>
        </w:tc>
        <w:tc>
          <w:tcPr>
            <w:tcW w:w="4104" w:type="dxa"/>
            <w:shd w:val="clear" w:color="auto" w:fill="DCE6F1"/>
            <w:tcMar>
              <w:top w:w="80" w:type="dxa"/>
              <w:left w:w="110" w:type="dxa"/>
              <w:bottom w:w="80" w:type="dxa"/>
              <w:right w:w="110" w:type="dxa"/>
            </w:tcMar>
            <w:vAlign w:val="center"/>
          </w:tcPr>
          <w:p w14:paraId="349C2C07" w14:textId="77777777" w:rsidR="00B273C5" w:rsidRDefault="00000000">
            <w:r>
              <w:rPr>
                <w:b/>
                <w:color w:val="1F4E79"/>
              </w:rPr>
              <w:t>Best borrowing point for Boise</w:t>
            </w:r>
          </w:p>
        </w:tc>
      </w:tr>
      <w:tr w:rsidR="00B273C5" w14:paraId="4526E841" w14:textId="77777777">
        <w:trPr>
          <w:jc w:val="center"/>
        </w:trPr>
        <w:tc>
          <w:tcPr>
            <w:tcW w:w="2088" w:type="dxa"/>
            <w:tcMar>
              <w:top w:w="95" w:type="dxa"/>
              <w:left w:w="110" w:type="dxa"/>
              <w:bottom w:w="95" w:type="dxa"/>
              <w:right w:w="110" w:type="dxa"/>
            </w:tcMar>
            <w:vAlign w:val="center"/>
          </w:tcPr>
          <w:p w14:paraId="6CA90F51" w14:textId="77777777" w:rsidR="00B273C5" w:rsidRDefault="00000000">
            <w:r>
              <w:t>Boise 4.30q</w:t>
            </w:r>
          </w:p>
        </w:tc>
        <w:tc>
          <w:tcPr>
            <w:tcW w:w="3744" w:type="dxa"/>
            <w:tcMar>
              <w:top w:w="95" w:type="dxa"/>
              <w:left w:w="110" w:type="dxa"/>
              <w:bottom w:w="95" w:type="dxa"/>
              <w:right w:w="110" w:type="dxa"/>
            </w:tcMar>
            <w:vAlign w:val="center"/>
          </w:tcPr>
          <w:p w14:paraId="2CBD88C5" w14:textId="77777777" w:rsidR="00B273C5" w:rsidRDefault="00000000">
            <w:r>
              <w:t>Risk tiers, meaningful human review, high-risk treatment for employment-related uses</w:t>
            </w:r>
          </w:p>
        </w:tc>
        <w:tc>
          <w:tcPr>
            <w:tcW w:w="4104" w:type="dxa"/>
            <w:tcMar>
              <w:top w:w="95" w:type="dxa"/>
              <w:left w:w="110" w:type="dxa"/>
              <w:bottom w:w="95" w:type="dxa"/>
              <w:right w:w="110" w:type="dxa"/>
            </w:tcMar>
            <w:vAlign w:val="center"/>
          </w:tcPr>
          <w:p w14:paraId="7E34A83B" w14:textId="77777777" w:rsidR="00B273C5" w:rsidRDefault="00000000">
            <w:r>
              <w:t>Use the city’s own vocabulary so Council and staff are working inside familiar governance language.</w:t>
            </w:r>
          </w:p>
        </w:tc>
      </w:tr>
      <w:tr w:rsidR="00B273C5" w14:paraId="47C4E313" w14:textId="77777777">
        <w:trPr>
          <w:jc w:val="center"/>
        </w:trPr>
        <w:tc>
          <w:tcPr>
            <w:tcW w:w="2088" w:type="dxa"/>
            <w:tcMar>
              <w:top w:w="95" w:type="dxa"/>
              <w:left w:w="110" w:type="dxa"/>
              <w:bottom w:w="95" w:type="dxa"/>
              <w:right w:w="110" w:type="dxa"/>
            </w:tcMar>
            <w:vAlign w:val="center"/>
          </w:tcPr>
          <w:p w14:paraId="00A8D32B" w14:textId="77777777" w:rsidR="00B273C5" w:rsidRDefault="00000000">
            <w:r>
              <w:t xml:space="preserve">Austin memo, Dec. </w:t>
            </w:r>
            <w:r>
              <w:lastRenderedPageBreak/>
              <w:t>23, 2025</w:t>
            </w:r>
          </w:p>
        </w:tc>
        <w:tc>
          <w:tcPr>
            <w:tcW w:w="3744" w:type="dxa"/>
            <w:tcMar>
              <w:top w:w="95" w:type="dxa"/>
              <w:left w:w="110" w:type="dxa"/>
              <w:bottom w:w="95" w:type="dxa"/>
              <w:right w:w="110" w:type="dxa"/>
            </w:tcMar>
            <w:vAlign w:val="center"/>
          </w:tcPr>
          <w:p w14:paraId="67B9CC05" w14:textId="77777777" w:rsidR="00B273C5" w:rsidRDefault="00000000">
            <w:r>
              <w:lastRenderedPageBreak/>
              <w:t xml:space="preserve">AI registry, monitoring, public audit </w:t>
            </w:r>
            <w:r>
              <w:lastRenderedPageBreak/>
              <w:t>results, employee notice, appeal rights, human review</w:t>
            </w:r>
          </w:p>
        </w:tc>
        <w:tc>
          <w:tcPr>
            <w:tcW w:w="4104" w:type="dxa"/>
            <w:tcMar>
              <w:top w:w="95" w:type="dxa"/>
              <w:left w:w="110" w:type="dxa"/>
              <w:bottom w:w="95" w:type="dxa"/>
              <w:right w:w="110" w:type="dxa"/>
            </w:tcMar>
            <w:vAlign w:val="center"/>
          </w:tcPr>
          <w:p w14:paraId="5DD4CCE2" w14:textId="77777777" w:rsidR="00B273C5" w:rsidRDefault="00000000">
            <w:r>
              <w:lastRenderedPageBreak/>
              <w:t xml:space="preserve">Borrow worker-facing protections for </w:t>
            </w:r>
            <w:r>
              <w:lastRenderedPageBreak/>
              <w:t>robotics that influence schedules, discipline, access, or service allocation.</w:t>
            </w:r>
          </w:p>
        </w:tc>
      </w:tr>
      <w:tr w:rsidR="00B273C5" w14:paraId="32D53DFD" w14:textId="77777777">
        <w:trPr>
          <w:jc w:val="center"/>
        </w:trPr>
        <w:tc>
          <w:tcPr>
            <w:tcW w:w="2088" w:type="dxa"/>
            <w:tcMar>
              <w:top w:w="95" w:type="dxa"/>
              <w:left w:w="110" w:type="dxa"/>
              <w:bottom w:w="95" w:type="dxa"/>
              <w:right w:w="110" w:type="dxa"/>
            </w:tcMar>
            <w:vAlign w:val="center"/>
          </w:tcPr>
          <w:p w14:paraId="67483C19" w14:textId="77777777" w:rsidR="00B273C5" w:rsidRDefault="00000000">
            <w:r>
              <w:lastRenderedPageBreak/>
              <w:t>Utah AI Learning Lab</w:t>
            </w:r>
          </w:p>
        </w:tc>
        <w:tc>
          <w:tcPr>
            <w:tcW w:w="3744" w:type="dxa"/>
            <w:tcMar>
              <w:top w:w="95" w:type="dxa"/>
              <w:left w:w="110" w:type="dxa"/>
              <w:bottom w:w="95" w:type="dxa"/>
              <w:right w:w="110" w:type="dxa"/>
            </w:tcMar>
            <w:vAlign w:val="center"/>
          </w:tcPr>
          <w:p w14:paraId="59367002" w14:textId="77777777" w:rsidR="00B273C5" w:rsidRDefault="00000000">
            <w:r>
              <w:t>Pilot-oriented learning, structured collaboration, regulatory iteration</w:t>
            </w:r>
          </w:p>
        </w:tc>
        <w:tc>
          <w:tcPr>
            <w:tcW w:w="4104" w:type="dxa"/>
            <w:tcMar>
              <w:top w:w="95" w:type="dxa"/>
              <w:left w:w="110" w:type="dxa"/>
              <w:bottom w:w="95" w:type="dxa"/>
              <w:right w:w="110" w:type="dxa"/>
            </w:tcMar>
            <w:vAlign w:val="center"/>
          </w:tcPr>
          <w:p w14:paraId="1873F045" w14:textId="77777777" w:rsidR="00B273C5" w:rsidRDefault="00000000">
            <w:r>
              <w:t>Use a sunset-backed pilot with annual reports and room to refine terms after real local data.</w:t>
            </w:r>
          </w:p>
        </w:tc>
      </w:tr>
      <w:tr w:rsidR="00B273C5" w14:paraId="3ABDBA27" w14:textId="77777777">
        <w:trPr>
          <w:jc w:val="center"/>
        </w:trPr>
        <w:tc>
          <w:tcPr>
            <w:tcW w:w="2088" w:type="dxa"/>
            <w:tcMar>
              <w:top w:w="95" w:type="dxa"/>
              <w:left w:w="110" w:type="dxa"/>
              <w:bottom w:w="95" w:type="dxa"/>
              <w:right w:w="110" w:type="dxa"/>
            </w:tcMar>
            <w:vAlign w:val="center"/>
          </w:tcPr>
          <w:p w14:paraId="39B7F238" w14:textId="77777777" w:rsidR="00B273C5" w:rsidRDefault="00000000">
            <w:r>
              <w:t>Riverside, Jan. 16, 2026</w:t>
            </w:r>
          </w:p>
        </w:tc>
        <w:tc>
          <w:tcPr>
            <w:tcW w:w="3744" w:type="dxa"/>
            <w:tcMar>
              <w:top w:w="95" w:type="dxa"/>
              <w:left w:w="110" w:type="dxa"/>
              <w:bottom w:w="95" w:type="dxa"/>
              <w:right w:w="110" w:type="dxa"/>
            </w:tcMar>
            <w:vAlign w:val="center"/>
          </w:tcPr>
          <w:p w14:paraId="60D429FB" w14:textId="77777777" w:rsidR="00B273C5" w:rsidRDefault="00000000">
            <w:r>
              <w:t>City ordinance path for safe and responsible device operations</w:t>
            </w:r>
          </w:p>
        </w:tc>
        <w:tc>
          <w:tcPr>
            <w:tcW w:w="4104" w:type="dxa"/>
            <w:tcMar>
              <w:top w:w="95" w:type="dxa"/>
              <w:left w:w="110" w:type="dxa"/>
              <w:bottom w:w="95" w:type="dxa"/>
              <w:right w:w="110" w:type="dxa"/>
            </w:tcMar>
            <w:vAlign w:val="center"/>
          </w:tcPr>
          <w:p w14:paraId="465B61A4" w14:textId="77777777" w:rsidR="00B273C5" w:rsidRDefault="00000000">
            <w:r>
              <w:t>Use clear local findings, permit conditions, and public-safety framing.</w:t>
            </w:r>
          </w:p>
        </w:tc>
      </w:tr>
      <w:tr w:rsidR="00B273C5" w14:paraId="5F8E288A" w14:textId="77777777">
        <w:trPr>
          <w:jc w:val="center"/>
        </w:trPr>
        <w:tc>
          <w:tcPr>
            <w:tcW w:w="2088" w:type="dxa"/>
            <w:tcMar>
              <w:top w:w="95" w:type="dxa"/>
              <w:left w:w="110" w:type="dxa"/>
              <w:bottom w:w="95" w:type="dxa"/>
              <w:right w:w="110" w:type="dxa"/>
            </w:tcMar>
            <w:vAlign w:val="center"/>
          </w:tcPr>
          <w:p w14:paraId="1B9B4163" w14:textId="77777777" w:rsidR="00B273C5" w:rsidRDefault="00000000">
            <w:r>
              <w:t>Fremont, Mar. 3, 2026</w:t>
            </w:r>
          </w:p>
        </w:tc>
        <w:tc>
          <w:tcPr>
            <w:tcW w:w="3744" w:type="dxa"/>
            <w:tcMar>
              <w:top w:w="95" w:type="dxa"/>
              <w:left w:w="110" w:type="dxa"/>
              <w:bottom w:w="95" w:type="dxa"/>
              <w:right w:w="110" w:type="dxa"/>
            </w:tcMar>
            <w:vAlign w:val="center"/>
          </w:tcPr>
          <w:p w14:paraId="2E2836ED" w14:textId="77777777" w:rsidR="00B273C5" w:rsidRDefault="00000000">
            <w:r>
              <w:t>Phased rollout from a few supervised robots to a larger autonomous fleet</w:t>
            </w:r>
          </w:p>
        </w:tc>
        <w:tc>
          <w:tcPr>
            <w:tcW w:w="4104" w:type="dxa"/>
            <w:tcMar>
              <w:top w:w="95" w:type="dxa"/>
              <w:left w:w="110" w:type="dxa"/>
              <w:bottom w:w="95" w:type="dxa"/>
              <w:right w:w="110" w:type="dxa"/>
            </w:tcMar>
            <w:vAlign w:val="center"/>
          </w:tcPr>
          <w:p w14:paraId="57CFF245" w14:textId="77777777" w:rsidR="00B273C5" w:rsidRDefault="00000000">
            <w:r>
              <w:t>Use a phased deployment path with easy scaling after safe initial performance.</w:t>
            </w:r>
          </w:p>
        </w:tc>
      </w:tr>
      <w:tr w:rsidR="00B273C5" w14:paraId="17879B22" w14:textId="77777777">
        <w:trPr>
          <w:jc w:val="center"/>
        </w:trPr>
        <w:tc>
          <w:tcPr>
            <w:tcW w:w="2088" w:type="dxa"/>
            <w:tcMar>
              <w:top w:w="95" w:type="dxa"/>
              <w:left w:w="110" w:type="dxa"/>
              <w:bottom w:w="95" w:type="dxa"/>
              <w:right w:w="110" w:type="dxa"/>
            </w:tcMar>
            <w:vAlign w:val="center"/>
          </w:tcPr>
          <w:p w14:paraId="6BB6306A" w14:textId="77777777" w:rsidR="00B273C5" w:rsidRDefault="00000000">
            <w:r>
              <w:t>Live hospital, hotel, campus, and senior-living deployments</w:t>
            </w:r>
          </w:p>
        </w:tc>
        <w:tc>
          <w:tcPr>
            <w:tcW w:w="3744" w:type="dxa"/>
            <w:tcMar>
              <w:top w:w="95" w:type="dxa"/>
              <w:left w:w="110" w:type="dxa"/>
              <w:bottom w:w="95" w:type="dxa"/>
              <w:right w:w="110" w:type="dxa"/>
            </w:tcMar>
            <w:vAlign w:val="center"/>
          </w:tcPr>
          <w:p w14:paraId="476C3D21" w14:textId="77777777" w:rsidR="00B273C5" w:rsidRDefault="00000000">
            <w:r>
              <w:t>Proof of real operations in occupied properties</w:t>
            </w:r>
          </w:p>
        </w:tc>
        <w:tc>
          <w:tcPr>
            <w:tcW w:w="4104" w:type="dxa"/>
            <w:tcMar>
              <w:top w:w="95" w:type="dxa"/>
              <w:left w:w="110" w:type="dxa"/>
              <w:bottom w:w="95" w:type="dxa"/>
              <w:right w:w="110" w:type="dxa"/>
            </w:tcMar>
            <w:vAlign w:val="center"/>
          </w:tcPr>
          <w:p w14:paraId="1E72071D" w14:textId="77777777" w:rsidR="00B273C5" w:rsidRDefault="00000000">
            <w:r>
              <w:t>Anchor the ordinance in actual use cases rather than in purely theoretical future robotics.</w:t>
            </w:r>
          </w:p>
        </w:tc>
      </w:tr>
    </w:tbl>
    <w:p w14:paraId="485738A6" w14:textId="77777777" w:rsidR="00B273C5" w:rsidRDefault="00B273C5"/>
    <w:p w14:paraId="55251537" w14:textId="77777777" w:rsidR="00B273C5" w:rsidRDefault="00000000">
      <w:pPr>
        <w:pStyle w:val="Heading1"/>
      </w:pPr>
      <w:r>
        <w:rPr>
          <w:rFonts w:ascii="Arial" w:eastAsia="Arial" w:hAnsi="Arial"/>
        </w:rPr>
        <w:t>Recommended Framework</w:t>
      </w:r>
    </w:p>
    <w:p w14:paraId="0AABC1D1" w14:textId="77777777" w:rsidR="00B273C5" w:rsidRDefault="00000000">
      <w:r>
        <w:t>Private property authorization should lead the ordinance. A property owner or authorized operator should have an express city path to deploy robot-enabled operations inside occupied commercial and managed residential properties. Hospital and hotel robots show why the permit must handle corridors, elevators, charging, and site contacts; campus and delivery robots show why the city needs route limits, notice, and complaint handling; senior-living and employment-adjacent uses show why the ordinance needs a higher-risk lane for privacy, access, and worker-facing effects. Review should then scale upward only when the site, data practices, or workforce implications justify additional conditions.</w:t>
      </w:r>
    </w:p>
    <w:p w14:paraId="7A371270" w14:textId="77777777" w:rsidR="00B273C5" w:rsidRDefault="00000000">
      <w:pPr>
        <w:pStyle w:val="Heading3"/>
      </w:pPr>
      <w:r>
        <w:rPr>
          <w:rFonts w:ascii="Arial" w:eastAsia="Arial" w:hAnsi="Arial"/>
        </w:rPr>
        <w:t>1. Authorize private-property deployment in occupied commercial and managed residential properties.</w:t>
      </w:r>
    </w:p>
    <w:p w14:paraId="2DCB56A3" w14:textId="77777777" w:rsidR="00B273C5" w:rsidRDefault="00000000">
      <w:r>
        <w:t>The ordinance should expressly authorize robot-enabled operations in offices, hotels, hospitals, campuses, retail centers, warehouses, multifamily common areas, student housing, senior living communities, and similar managed properties when the operator holds a city permit sized to the use case. Single-site use inside an ordinary private dwelling can remain a general private-property matter under existing law, while repeated or vendor-managed operations in shared buildings move through the pilot framework.</w:t>
      </w:r>
    </w:p>
    <w:p w14:paraId="6CC7801B" w14:textId="77777777" w:rsidR="00B273C5" w:rsidRDefault="00000000">
      <w:pPr>
        <w:pStyle w:val="Heading3"/>
      </w:pPr>
      <w:r>
        <w:rPr>
          <w:rFonts w:ascii="Arial" w:eastAsia="Arial" w:hAnsi="Arial"/>
        </w:rPr>
        <w:t>2. Create three risk tiers tied to the actual use case.</w:t>
      </w:r>
    </w:p>
    <w:p w14:paraId="3C8A844B" w14:textId="77777777" w:rsidR="00B273C5" w:rsidRDefault="00000000">
      <w:r>
        <w:t>Tier 1 should cover routine physical operations with limited public interaction and limited personal-data collection. Tier 2 should cover operations in common areas or uses involving cameras, microphones, or identifiable-person data. Tier 3 should cover employment-related decision influence, sensitive resident or patient spaces, or any deployment that materially affects access, rights, or benefits. A city reviewer should assess the real function rather than vendor branding.</w:t>
      </w:r>
    </w:p>
    <w:p w14:paraId="29020E15" w14:textId="77777777" w:rsidR="00B273C5" w:rsidRDefault="00000000">
      <w:pPr>
        <w:pStyle w:val="Heading3"/>
      </w:pPr>
      <w:r>
        <w:rPr>
          <w:rFonts w:ascii="Arial" w:eastAsia="Arial" w:hAnsi="Arial"/>
        </w:rPr>
        <w:t>3. Use a short application package rather than a novel licensing bureaucracy.</w:t>
      </w:r>
    </w:p>
    <w:p w14:paraId="4EE3177E" w14:textId="77777777" w:rsidR="00B273C5" w:rsidRDefault="00000000">
      <w:r>
        <w:t>The application should identify the property, the operator, the vendor, the robot types, operating routes, charging locations, emergency contacts, insurance, privacy statement, training plan, and a site safety plan. Boise already has intake tools for plans and permits. A light-touch application aligns with barrier removal while still giving reviewers what they need.</w:t>
      </w:r>
    </w:p>
    <w:p w14:paraId="79090AC5" w14:textId="77777777" w:rsidR="00B273C5" w:rsidRDefault="00000000">
      <w:pPr>
        <w:pStyle w:val="Heading3"/>
      </w:pPr>
      <w:r>
        <w:rPr>
          <w:rFonts w:ascii="Arial" w:eastAsia="Arial" w:hAnsi="Arial"/>
        </w:rPr>
        <w:lastRenderedPageBreak/>
        <w:t>4. Require a site safety plan that fits occupied properties.</w:t>
      </w:r>
    </w:p>
    <w:p w14:paraId="6AEF2B23" w14:textId="77777777" w:rsidR="00B273C5" w:rsidRDefault="00000000">
      <w:r>
        <w:t>A site safety plan should describe movement areas, no-go zones, speed parameters, emergency-stop access, charging controls, hours of operation, cleaning or maintenance windows, elevator interactions, spill or obstruction response, and procedures during alarms, evacuations, or outages. Review belongs with the departments that already manage building and fire questions.</w:t>
      </w:r>
    </w:p>
    <w:p w14:paraId="7456DC6A" w14:textId="77777777" w:rsidR="00B273C5" w:rsidRDefault="00000000">
      <w:pPr>
        <w:pStyle w:val="Heading3"/>
      </w:pPr>
      <w:r>
        <w:rPr>
          <w:rFonts w:ascii="Arial" w:eastAsia="Arial" w:hAnsi="Arial"/>
        </w:rPr>
        <w:t>5. Protect accessibility and egress as an express finding.</w:t>
      </w:r>
    </w:p>
    <w:p w14:paraId="4352D4B4" w14:textId="77777777" w:rsidR="00B273C5" w:rsidRDefault="00000000">
      <w:r>
        <w:t>Every approved deployment should preserve required egress width, accessible routes, elevator priority, turning radius, door clearances, and ordinary access for residents, patients, guests, workers, and emergency personnel. Accessibility belongs in the findings section rather than in a late-stage afterthought because occupied-building movement is the heart of the ordinance.</w:t>
      </w:r>
    </w:p>
    <w:p w14:paraId="5BB6E384" w14:textId="77777777" w:rsidR="00B273C5" w:rsidRDefault="00000000">
      <w:pPr>
        <w:pStyle w:val="Heading3"/>
      </w:pPr>
      <w:r>
        <w:rPr>
          <w:rFonts w:ascii="Arial" w:eastAsia="Arial" w:hAnsi="Arial"/>
        </w:rPr>
        <w:t>6. Require human override, responsible supervision, and visible site contact.</w:t>
      </w:r>
    </w:p>
    <w:p w14:paraId="12432EE6" w14:textId="77777777" w:rsidR="00B273C5" w:rsidRDefault="00000000">
      <w:r>
        <w:t>Every deployed system should carry a physical stop control within reach, a remote-assistance function where appropriate, and a responsible local or regional contact able to respond promptly. Boise should require posted contact information at the site and clear device identification so occupants know who is responsible.</w:t>
      </w:r>
    </w:p>
    <w:p w14:paraId="366AEF45" w14:textId="77777777" w:rsidR="00B273C5" w:rsidRDefault="00000000">
      <w:pPr>
        <w:pStyle w:val="Heading3"/>
      </w:pPr>
      <w:r>
        <w:rPr>
          <w:rFonts w:ascii="Arial" w:eastAsia="Arial" w:hAnsi="Arial"/>
        </w:rPr>
        <w:t>7. Place battery, charging, and fire controls inside the permit conditions.</w:t>
      </w:r>
    </w:p>
    <w:p w14:paraId="3F69E902" w14:textId="77777777" w:rsidR="00B273C5" w:rsidRDefault="00000000">
      <w:r>
        <w:t>Charging rooms, docking stations, lithium-ion battery practices, cable management, ventilation, and thermal-event response belong in the permit. Fire Prevention already handles life-safety and hazardous-operations questions. A robotics permit should therefore call for any additional fire review that the site configuration warrants.</w:t>
      </w:r>
    </w:p>
    <w:p w14:paraId="5D1CBB61" w14:textId="77777777" w:rsidR="00B273C5" w:rsidRDefault="00000000">
      <w:pPr>
        <w:pStyle w:val="Heading3"/>
      </w:pPr>
      <w:r>
        <w:rPr>
          <w:rFonts w:ascii="Arial" w:eastAsia="Arial" w:hAnsi="Arial"/>
        </w:rPr>
        <w:t>8. Use strong privacy, records, and confidentiality language.</w:t>
      </w:r>
    </w:p>
    <w:p w14:paraId="324D6748" w14:textId="77777777" w:rsidR="00B273C5" w:rsidRDefault="00000000">
      <w:r>
        <w:t>Tier 2 and Tier 3 permits should require a concise privacy statement that identifies sensor types, data categories, retention periods, access limits, sharing rules, notice practices, and a complaint contact. Technical materials that contain trade secrets should move through a confidential appendix process with a public-facing summary so the city can review safety-relevant details without forcing public disclosure of proprietary information.</w:t>
      </w:r>
    </w:p>
    <w:p w14:paraId="5E801656" w14:textId="77777777" w:rsidR="00B273C5" w:rsidRDefault="00000000">
      <w:pPr>
        <w:pStyle w:val="Heading3"/>
      </w:pPr>
      <w:r>
        <w:rPr>
          <w:rFonts w:ascii="Arial" w:eastAsia="Arial" w:hAnsi="Arial"/>
        </w:rPr>
        <w:t>9. Treat employment-related automation as a higher-risk use.</w:t>
      </w:r>
    </w:p>
    <w:p w14:paraId="72E5D1A2" w14:textId="77777777" w:rsidR="00B273C5" w:rsidRDefault="00000000">
      <w:r>
        <w:t>Any system that materially informs hiring, scheduling, assignments, discipline, productivity scoring, or termination should be treated as Tier 3. Meaningful human review, notice to affected workers, and an appeal or grievance path should be express permit conditions. Austin’s December 2025 memo offers the strongest public model for that language.</w:t>
      </w:r>
    </w:p>
    <w:p w14:paraId="75A81F5F" w14:textId="77777777" w:rsidR="00B273C5" w:rsidRDefault="00000000">
      <w:pPr>
        <w:pStyle w:val="Heading3"/>
      </w:pPr>
      <w:r>
        <w:rPr>
          <w:rFonts w:ascii="Arial" w:eastAsia="Arial" w:hAnsi="Arial"/>
        </w:rPr>
        <w:t>10. Assign vendor accountability, insurance, and indemnity clearly.</w:t>
      </w:r>
    </w:p>
    <w:p w14:paraId="4DC87287" w14:textId="77777777" w:rsidR="00B273C5" w:rsidRDefault="00000000">
      <w:r>
        <w:t>The ordinance should require proof of commercial general liability insurance, identify the site operator and vendor, and allocate indemnity for city claims arising from the deployment. Clear accountability strengthens procurement, resident communication, and incident handling.</w:t>
      </w:r>
    </w:p>
    <w:p w14:paraId="1DDE77FE" w14:textId="77777777" w:rsidR="00B273C5" w:rsidRDefault="00000000">
      <w:pPr>
        <w:pStyle w:val="Heading3"/>
      </w:pPr>
      <w:r>
        <w:rPr>
          <w:rFonts w:ascii="Arial" w:eastAsia="Arial" w:hAnsi="Arial"/>
        </w:rPr>
        <w:t>11. Build complaint handling, cure, suspension, and appeal into the pilot.</w:t>
      </w:r>
    </w:p>
    <w:p w14:paraId="7AAE01AB" w14:textId="77777777" w:rsidR="00B273C5" w:rsidRDefault="00000000">
      <w:r>
        <w:t>Occupants, residents, workers, and visitors need a clear path to report blocked access, repeated unsafe movement, privacy concerns, or site-specific harms. The city needs a defined cure process and the power to suspend operations when a life-safety, accessibility, or material privacy risk emerges. The operator should have a defined appeal route for ordinary administrative fairness.</w:t>
      </w:r>
    </w:p>
    <w:p w14:paraId="0082F862" w14:textId="77777777" w:rsidR="00B273C5" w:rsidRDefault="00000000">
      <w:pPr>
        <w:pStyle w:val="Heading3"/>
      </w:pPr>
      <w:r>
        <w:rPr>
          <w:rFonts w:ascii="Arial" w:eastAsia="Arial" w:hAnsi="Arial"/>
        </w:rPr>
        <w:t>12. Use annual reporting and a sunset-backed pilot.</w:t>
      </w:r>
    </w:p>
    <w:p w14:paraId="3B7F736F" w14:textId="77777777" w:rsidR="00B273C5" w:rsidRDefault="00000000">
      <w:r>
        <w:t>The pilot should run for three years, require an annual report, and end with a Council decision on renewal, amendment, or permanent codification. A short annual report should summarize deployments, incidents, complaints, accessibility issues, and recommended code changes. A sunset keeps the first ordinance practical and politically passable.</w:t>
      </w:r>
    </w:p>
    <w:p w14:paraId="237C4D22" w14:textId="77777777" w:rsidR="00B273C5" w:rsidRDefault="00000000">
      <w:pPr>
        <w:pStyle w:val="Heading1"/>
      </w:pPr>
      <w:r>
        <w:rPr>
          <w:rFonts w:ascii="Arial" w:eastAsia="Arial" w:hAnsi="Arial"/>
        </w:rPr>
        <w:lastRenderedPageBreak/>
        <w:t>Likely Objections and Direct Replies</w:t>
      </w:r>
    </w:p>
    <w:tbl>
      <w:tblPr>
        <w:tblStyle w:val="TableGrid"/>
        <w:tblW w:w="0" w:type="auto"/>
        <w:jc w:val="center"/>
        <w:tblBorders>
          <w:top w:val="single" w:sz="6" w:space="0" w:color="C8D1DA"/>
          <w:left w:val="single" w:sz="6" w:space="0" w:color="C8D1DA"/>
          <w:bottom w:val="single" w:sz="6" w:space="0" w:color="C8D1DA"/>
          <w:right w:val="single" w:sz="6" w:space="0" w:color="C8D1DA"/>
          <w:insideH w:val="single" w:sz="6" w:space="0" w:color="C8D1DA"/>
          <w:insideV w:val="single" w:sz="6" w:space="0" w:color="C8D1DA"/>
        </w:tblBorders>
        <w:tblLayout w:type="fixed"/>
        <w:tblLook w:val="04A0" w:firstRow="1" w:lastRow="0" w:firstColumn="1" w:lastColumn="0" w:noHBand="0" w:noVBand="1"/>
      </w:tblPr>
      <w:tblGrid>
        <w:gridCol w:w="2880"/>
        <w:gridCol w:w="7056"/>
      </w:tblGrid>
      <w:tr w:rsidR="00B273C5" w14:paraId="0E6C4FBD" w14:textId="77777777">
        <w:trPr>
          <w:tblHeader/>
          <w:jc w:val="center"/>
        </w:trPr>
        <w:tc>
          <w:tcPr>
            <w:tcW w:w="2880" w:type="dxa"/>
            <w:shd w:val="clear" w:color="auto" w:fill="DCE6F1"/>
            <w:tcMar>
              <w:top w:w="80" w:type="dxa"/>
              <w:left w:w="110" w:type="dxa"/>
              <w:bottom w:w="80" w:type="dxa"/>
              <w:right w:w="110" w:type="dxa"/>
            </w:tcMar>
          </w:tcPr>
          <w:p w14:paraId="72A7CE31" w14:textId="77777777" w:rsidR="00B273C5" w:rsidRDefault="00000000">
            <w:r>
              <w:rPr>
                <w:b/>
                <w:color w:val="1F4E79"/>
              </w:rPr>
              <w:t>Objection</w:t>
            </w:r>
          </w:p>
        </w:tc>
        <w:tc>
          <w:tcPr>
            <w:tcW w:w="7056" w:type="dxa"/>
            <w:shd w:val="clear" w:color="auto" w:fill="DCE6F1"/>
            <w:tcMar>
              <w:top w:w="80" w:type="dxa"/>
              <w:left w:w="110" w:type="dxa"/>
              <w:bottom w:w="80" w:type="dxa"/>
              <w:right w:w="110" w:type="dxa"/>
            </w:tcMar>
          </w:tcPr>
          <w:p w14:paraId="2A9E1A86" w14:textId="77777777" w:rsidR="00B273C5" w:rsidRDefault="00000000">
            <w:r>
              <w:rPr>
                <w:b/>
                <w:color w:val="1F4E79"/>
              </w:rPr>
              <w:t>Direct reply</w:t>
            </w:r>
          </w:p>
        </w:tc>
      </w:tr>
      <w:tr w:rsidR="00B273C5" w14:paraId="308BD8DB" w14:textId="77777777">
        <w:trPr>
          <w:jc w:val="center"/>
        </w:trPr>
        <w:tc>
          <w:tcPr>
            <w:tcW w:w="2880" w:type="dxa"/>
            <w:tcMar>
              <w:top w:w="95" w:type="dxa"/>
              <w:left w:w="110" w:type="dxa"/>
              <w:bottom w:w="95" w:type="dxa"/>
              <w:right w:w="110" w:type="dxa"/>
            </w:tcMar>
            <w:vAlign w:val="center"/>
          </w:tcPr>
          <w:p w14:paraId="6C3BBCF4" w14:textId="77777777" w:rsidR="00B273C5" w:rsidRDefault="00000000">
            <w:r>
              <w:t>City authority is too thin.</w:t>
            </w:r>
          </w:p>
        </w:tc>
        <w:tc>
          <w:tcPr>
            <w:tcW w:w="7056" w:type="dxa"/>
            <w:tcMar>
              <w:top w:w="95" w:type="dxa"/>
              <w:left w:w="110" w:type="dxa"/>
              <w:bottom w:w="95" w:type="dxa"/>
              <w:right w:w="110" w:type="dxa"/>
            </w:tcMar>
            <w:vAlign w:val="center"/>
          </w:tcPr>
          <w:p w14:paraId="4ACCDECA" w14:textId="77777777" w:rsidR="00B273C5" w:rsidRDefault="00000000">
            <w:r>
              <w:t>Boise authority is strongest where occupancy, fire review, permits, accessibility, business operations, and complaint handling converge. The ordinance governs the site and the operating conditions at the site rather than vehicle design or statewide roadway rules.</w:t>
            </w:r>
          </w:p>
        </w:tc>
      </w:tr>
      <w:tr w:rsidR="00B273C5" w14:paraId="1511B2D8" w14:textId="77777777">
        <w:trPr>
          <w:jc w:val="center"/>
        </w:trPr>
        <w:tc>
          <w:tcPr>
            <w:tcW w:w="2880" w:type="dxa"/>
            <w:tcMar>
              <w:top w:w="95" w:type="dxa"/>
              <w:left w:w="110" w:type="dxa"/>
              <w:bottom w:w="95" w:type="dxa"/>
              <w:right w:w="110" w:type="dxa"/>
            </w:tcMar>
            <w:vAlign w:val="center"/>
          </w:tcPr>
          <w:p w14:paraId="000B0B80" w14:textId="77777777" w:rsidR="00B273C5" w:rsidRDefault="00000000">
            <w:r>
              <w:t>A permit will slow innovation.</w:t>
            </w:r>
          </w:p>
        </w:tc>
        <w:tc>
          <w:tcPr>
            <w:tcW w:w="7056" w:type="dxa"/>
            <w:tcMar>
              <w:top w:w="95" w:type="dxa"/>
              <w:left w:w="110" w:type="dxa"/>
              <w:bottom w:w="95" w:type="dxa"/>
              <w:right w:w="110" w:type="dxa"/>
            </w:tcMar>
            <w:vAlign w:val="center"/>
          </w:tcPr>
          <w:p w14:paraId="42C4DAFB" w14:textId="77777777" w:rsidR="00B273C5" w:rsidRDefault="00000000">
            <w:r>
              <w:t>A tiered permit reduces friction compared with ad hoc negotiations after deployment plans arrive. Tier 1 can move through a short application. Higher tiers add only the conditions tied to privacy, workforce, or sensitive-space questions.</w:t>
            </w:r>
          </w:p>
        </w:tc>
      </w:tr>
      <w:tr w:rsidR="00B273C5" w14:paraId="39A08B62" w14:textId="77777777">
        <w:trPr>
          <w:jc w:val="center"/>
        </w:trPr>
        <w:tc>
          <w:tcPr>
            <w:tcW w:w="2880" w:type="dxa"/>
            <w:tcMar>
              <w:top w:w="95" w:type="dxa"/>
              <w:left w:w="110" w:type="dxa"/>
              <w:bottom w:w="95" w:type="dxa"/>
              <w:right w:w="110" w:type="dxa"/>
            </w:tcMar>
            <w:vAlign w:val="center"/>
          </w:tcPr>
          <w:p w14:paraId="6306B98C" w14:textId="77777777" w:rsidR="00B273C5" w:rsidRDefault="00000000">
            <w:r>
              <w:t>State law should handle the whole subject.</w:t>
            </w:r>
          </w:p>
        </w:tc>
        <w:tc>
          <w:tcPr>
            <w:tcW w:w="7056" w:type="dxa"/>
            <w:tcMar>
              <w:top w:w="95" w:type="dxa"/>
              <w:left w:w="110" w:type="dxa"/>
              <w:bottom w:w="95" w:type="dxa"/>
              <w:right w:w="110" w:type="dxa"/>
            </w:tcMar>
            <w:vAlign w:val="center"/>
          </w:tcPr>
          <w:p w14:paraId="140908BA" w14:textId="77777777" w:rsidR="00B273C5" w:rsidRDefault="00000000">
            <w:r>
              <w:t>State law may later refine outdoor device rules. Indoor and private-site operations still raise city questions first. A Boise pilot generates the data a later statewide discussion can use.</w:t>
            </w:r>
          </w:p>
        </w:tc>
      </w:tr>
      <w:tr w:rsidR="00B273C5" w14:paraId="20514F0A" w14:textId="77777777">
        <w:trPr>
          <w:jc w:val="center"/>
        </w:trPr>
        <w:tc>
          <w:tcPr>
            <w:tcW w:w="2880" w:type="dxa"/>
            <w:tcMar>
              <w:top w:w="95" w:type="dxa"/>
              <w:left w:w="110" w:type="dxa"/>
              <w:bottom w:w="95" w:type="dxa"/>
              <w:right w:w="110" w:type="dxa"/>
            </w:tcMar>
            <w:vAlign w:val="center"/>
          </w:tcPr>
          <w:p w14:paraId="5F0FF0D6" w14:textId="77777777" w:rsidR="00B273C5" w:rsidRDefault="00000000">
            <w:r>
              <w:t>Residents and workers will lose visibility and control.</w:t>
            </w:r>
          </w:p>
        </w:tc>
        <w:tc>
          <w:tcPr>
            <w:tcW w:w="7056" w:type="dxa"/>
            <w:tcMar>
              <w:top w:w="95" w:type="dxa"/>
              <w:left w:w="110" w:type="dxa"/>
              <w:bottom w:w="95" w:type="dxa"/>
              <w:right w:w="110" w:type="dxa"/>
            </w:tcMar>
            <w:vAlign w:val="center"/>
          </w:tcPr>
          <w:p w14:paraId="01973177" w14:textId="77777777" w:rsidR="00B273C5" w:rsidRDefault="00000000">
            <w:r>
              <w:t>Visible identification, posted contacts, notice, privacy statements, complaint channels, meaningful human review, and appeal rights are core design features of the recommended ordinance.</w:t>
            </w:r>
          </w:p>
        </w:tc>
      </w:tr>
      <w:tr w:rsidR="00B273C5" w14:paraId="7F19AA32" w14:textId="77777777">
        <w:trPr>
          <w:jc w:val="center"/>
        </w:trPr>
        <w:tc>
          <w:tcPr>
            <w:tcW w:w="2880" w:type="dxa"/>
            <w:tcMar>
              <w:top w:w="95" w:type="dxa"/>
              <w:left w:w="110" w:type="dxa"/>
              <w:bottom w:w="95" w:type="dxa"/>
              <w:right w:w="110" w:type="dxa"/>
            </w:tcMar>
            <w:vAlign w:val="center"/>
          </w:tcPr>
          <w:p w14:paraId="6A51FDEF" w14:textId="77777777" w:rsidR="00B273C5" w:rsidRDefault="00000000">
            <w:r>
              <w:t>The market is still too early.</w:t>
            </w:r>
          </w:p>
        </w:tc>
        <w:tc>
          <w:tcPr>
            <w:tcW w:w="7056" w:type="dxa"/>
            <w:tcMar>
              <w:top w:w="95" w:type="dxa"/>
              <w:left w:w="110" w:type="dxa"/>
              <w:bottom w:w="95" w:type="dxa"/>
              <w:right w:w="110" w:type="dxa"/>
            </w:tcMar>
            <w:vAlign w:val="center"/>
          </w:tcPr>
          <w:p w14:paraId="6687B438" w14:textId="77777777" w:rsidR="00B273C5" w:rsidRDefault="00000000">
            <w:r>
              <w:t>Live deployments already operate in hospitals, hotels, campuses, senior living settings, and large commercial facilities. Boise benefits from a measured pilot before the first local expansion arrives under improvised terms.</w:t>
            </w:r>
          </w:p>
        </w:tc>
      </w:tr>
    </w:tbl>
    <w:p w14:paraId="16A348E9" w14:textId="77777777" w:rsidR="00B273C5" w:rsidRDefault="00B273C5"/>
    <w:p w14:paraId="1130D928" w14:textId="77777777" w:rsidR="00B273C5" w:rsidRDefault="00000000">
      <w:pPr>
        <w:pStyle w:val="Heading1"/>
      </w:pPr>
      <w:r>
        <w:rPr>
          <w:rFonts w:ascii="Arial" w:eastAsia="Arial" w:hAnsi="Arial"/>
        </w:rPr>
        <w:t>Fiscal Impact</w:t>
      </w:r>
    </w:p>
    <w:p w14:paraId="1A078416" w14:textId="77777777" w:rsidR="00B273C5" w:rsidRDefault="00000000">
      <w:r>
        <w:t>Fiscal impact is neutral to positive. Boise can administer the pilot through existing Planning and Development Services, Fire Prevention, Legal, and related operational review tools. Permit fees can cover ordinary review activity. The ordinance creates zero new city department, zero new tax, and zero new commission while giving the city a cleaner path to manage incidents, complaints, and site-level safety questions.</w:t>
      </w:r>
    </w:p>
    <w:p w14:paraId="2D630E72" w14:textId="77777777" w:rsidR="00B273C5" w:rsidRDefault="00000000">
      <w:pPr>
        <w:pStyle w:val="Heading1"/>
      </w:pPr>
      <w:r>
        <w:rPr>
          <w:rFonts w:ascii="Arial" w:eastAsia="Arial" w:hAnsi="Arial"/>
        </w:rPr>
        <w:t>Implementation Path</w:t>
      </w:r>
    </w:p>
    <w:p w14:paraId="4C2DE5B5" w14:textId="77777777" w:rsidR="00B273C5" w:rsidRDefault="00000000">
      <w:pPr>
        <w:ind w:left="360" w:hanging="259"/>
      </w:pPr>
      <w:r>
        <w:t>• Spring 2026: circulate the ordinance draft through Council, the City Attorney, Planning and Development Services, Fire Prevention, and other relevant reviewers; finalize a short application checklist, a site safety plan template, a privacy statement template, and a complaint-handling workflow.</w:t>
      </w:r>
    </w:p>
    <w:p w14:paraId="17D236BC" w14:textId="77777777" w:rsidR="00B273C5" w:rsidRDefault="00000000">
      <w:pPr>
        <w:ind w:left="360" w:hanging="259"/>
      </w:pPr>
      <w:r>
        <w:t>• Summer 2026: Council considers and adopts the pilot; Boise finalizes permit forms, reviewer responsibilities, public-facing guidance, and the narrow conditions that distinguish Tier 1, Tier 2, and Tier 3 review.</w:t>
      </w:r>
    </w:p>
    <w:p w14:paraId="768A85F0" w14:textId="77777777" w:rsidR="00B273C5" w:rsidRDefault="00000000">
      <w:pPr>
        <w:ind w:left="360" w:hanging="259"/>
      </w:pPr>
      <w:r>
        <w:t>• Fall 2026: Boise opens the first permit window, prioritizes one-building and one-campus deployments, and uses the first operating quarter to test intake, inspection, site-contact, and complaint-response procedures.</w:t>
      </w:r>
    </w:p>
    <w:p>
      <w:pPr/>
      <w:r>
        <w:t>• 2027 and 2028: annual pilot reports summarize deployments, incidents, complaints, accessibility findings, employment-related issues, and recommended code adjustments before each new permit cycle.</w:t>
      </w:r>
    </w:p>
    <w:p>
      <w:pPr/>
      <w:r>
        <w:t>• Spring 2029: staff deliver the sunset review at least 90 days before expiration so Council can decide whether to codify, extend, amend, or let the pilot expire based on a real local operating record.</w:t>
      </w:r>
    </w:p>
    <w:p w14:paraId="3B413881" w14:textId="77777777" w:rsidR="00B273C5" w:rsidRDefault="00000000">
      <w:pPr>
        <w:pStyle w:val="Heading1"/>
      </w:pPr>
      <w:r>
        <w:rPr>
          <w:rFonts w:ascii="Arial" w:eastAsia="Arial" w:hAnsi="Arial"/>
        </w:rPr>
        <w:lastRenderedPageBreak/>
        <w:t>Policy Alignment</w:t>
      </w:r>
    </w:p>
    <w:p w14:paraId="5021917E" w14:textId="77777777" w:rsidR="00B273C5" w:rsidRDefault="00000000">
      <w:r>
        <w:t>Freedom: Property owners, operators, residents, workers, and service providers gain a clear path to choose lawful robot-enabled operations that fit the site and the use case.</w:t>
      </w:r>
    </w:p>
    <w:p w14:paraId="32D76671" w14:textId="77777777" w:rsidR="00B273C5" w:rsidRDefault="00000000">
      <w:r>
        <w:t>Privacy: Tiered review and concise privacy statements give occupants clear notice about sensors, data categories, retention, and complaint channels.</w:t>
      </w:r>
    </w:p>
    <w:p w14:paraId="0C81C476" w14:textId="77777777" w:rsidR="00B273C5" w:rsidRDefault="00000000">
      <w:r>
        <w:t>Safety: Site safety plans, accessibility findings, emergency-stop requirements, charging controls, and suspension powers turn city authority toward the practical risks that matter in occupied properties.</w:t>
      </w:r>
    </w:p>
    <w:p w14:paraId="695A9A50" w14:textId="77777777" w:rsidR="00B273C5" w:rsidRDefault="00000000">
      <w:r>
        <w:t>Innovation: A short pilot gives Boise a live operating framework instead of an after-the-fact reaction when broader deployments arrive.</w:t>
      </w:r>
    </w:p>
    <w:p w14:paraId="53DED8C9" w14:textId="77777777" w:rsidR="00B273C5" w:rsidRDefault="00000000">
      <w:r>
        <w:t>Competition: A transparent permit path supports multiple vendors and multiple property types rather than an insider model shaped by one-off negotiations.</w:t>
      </w:r>
    </w:p>
    <w:p w14:paraId="272F7C2D" w14:textId="77777777" w:rsidR="00B273C5" w:rsidRDefault="00000000">
      <w:r>
        <w:t>Decentralized ecosystem: Existing city departments handle their existing functions, property owners choose participation, and Council receives annual reports that support iterative improvement.</w:t>
      </w:r>
    </w:p>
    <w:p w14:paraId="63BB8610" w14:textId="77777777" w:rsidR="00B273C5" w:rsidRDefault="00000000">
      <w:pPr>
        <w:pStyle w:val="Heading1"/>
      </w:pPr>
      <w:r>
        <w:rPr>
          <w:rFonts w:ascii="Arial" w:eastAsia="Arial" w:hAnsi="Arial"/>
        </w:rPr>
        <w:t>Appendix A - Model Ordinance Language</w:t>
      </w:r>
    </w:p>
    <w:p w14:paraId="2C130B1A" w14:textId="77777777" w:rsidR="00B273C5" w:rsidRDefault="00000000">
      <w:r>
        <w:t>Appendix A gives Boise’s City Attorney a direct drafting start point. Section numbering is functional rather than final. Title placement and cross-references can be adjusted during formal codification.</w:t>
      </w:r>
    </w:p>
    <w:p w14:paraId="719D9E83" w14:textId="77777777" w:rsidR="00B273C5" w:rsidRDefault="00000000">
      <w:pPr>
        <w:pStyle w:val="Heading2"/>
      </w:pPr>
      <w:r>
        <w:rPr>
          <w:rFonts w:ascii="Arial" w:eastAsia="Arial" w:hAnsi="Arial"/>
        </w:rPr>
        <w:t>Section 1. Short title.</w:t>
      </w:r>
    </w:p>
    <w:p w14:paraId="46D6FF07" w14:textId="77777777" w:rsidR="00B273C5" w:rsidRDefault="00000000">
      <w:r>
        <w:t>The ordinance shall be known and may be cited as the "Boise Robot-Enabled Operations Pilot Ordinance."</w:t>
      </w:r>
    </w:p>
    <w:p w14:paraId="410277B3" w14:textId="77777777" w:rsidR="00B273C5" w:rsidRDefault="00000000">
      <w:pPr>
        <w:pStyle w:val="Heading2"/>
      </w:pPr>
      <w:r>
        <w:rPr>
          <w:rFonts w:ascii="Arial" w:eastAsia="Arial" w:hAnsi="Arial"/>
        </w:rPr>
        <w:t>Section 2. Authority and purpose.</w:t>
      </w:r>
    </w:p>
    <w:p w14:paraId="16B6E4CC" w14:textId="77777777" w:rsidR="00B273C5" w:rsidRDefault="00000000">
      <w:r>
        <w:t>The City Council adopts the pilot pursuant to the City’s police powers, building and fire authority, and general authority to regulate the safe use and operation of occupied properties within city limits. The purpose of the pilot is to authorize robot-enabled operations in occupied commercial and managed residential properties through a clear permit path that protects accessibility, life safety, privacy, administrative fairness, and orderly site operations.</w:t>
      </w:r>
    </w:p>
    <w:p w14:paraId="017426A0" w14:textId="77777777" w:rsidR="00B273C5" w:rsidRDefault="00000000">
      <w:pPr>
        <w:pStyle w:val="Heading2"/>
      </w:pPr>
      <w:r>
        <w:rPr>
          <w:rFonts w:ascii="Arial" w:eastAsia="Arial" w:hAnsi="Arial"/>
        </w:rPr>
        <w:t>Section 3. Findings.</w:t>
      </w:r>
    </w:p>
    <w:p w14:paraId="5FFA8AA9" w14:textId="77777777" w:rsidR="00B273C5" w:rsidRDefault="00000000">
      <w:r>
        <w:t>The Council finds that robot-enabled operations already function in occupied properties across the United States, including hospitals, hotels, campuses, senior-living settings, warehouses, and large commercial facilities; that Boise already administers building, fire, and permit systems relevant to those properties; that Boise’s January 2026 AI governance regulation already uses a risk-based review structure and meaningful human oversight for high-risk systems; and that a sunset-backed pilot will allow the City to gather local operating data before considering permanent codification.</w:t>
      </w:r>
    </w:p>
    <w:p w14:paraId="29A65AA0" w14:textId="77777777" w:rsidR="00B273C5" w:rsidRDefault="00000000">
      <w:pPr>
        <w:pStyle w:val="Heading2"/>
      </w:pPr>
      <w:r>
        <w:rPr>
          <w:rFonts w:ascii="Arial" w:eastAsia="Arial" w:hAnsi="Arial"/>
        </w:rPr>
        <w:t>Section 4. Definitions.</w:t>
      </w:r>
    </w:p>
    <w:p w14:paraId="6DEF7A46" w14:textId="77777777" w:rsidR="00B273C5" w:rsidRDefault="00000000">
      <w:r>
        <w:t>For purposes of the pilot:</w:t>
      </w:r>
    </w:p>
    <w:p w14:paraId="1732BA94" w14:textId="77777777" w:rsidR="00B273C5" w:rsidRDefault="00000000">
      <w:r>
        <w:t>(a) "Robot-enabled operations" means the use of a mobile, semi-mobile, or fixed robotic system, including associated software and remote-assistance functions, to perform cleaning, transport, delivery, inspection, security-support, environmental monitoring, inventory movement, facilities support, guest or resident service, or other building-operations tasks within or directly adjacent to an occupied property.</w:t>
      </w:r>
    </w:p>
    <w:p w14:paraId="102C9004" w14:textId="77777777" w:rsidR="00B273C5" w:rsidRDefault="00000000">
      <w:r>
        <w:t>(b) "Managed residential property" means multifamily property, student housing, senior-living property, hotel, extended-stay property, mixed-use building with residential occupancy, or similar professionally managed property with shared circulation or common areas.</w:t>
      </w:r>
    </w:p>
    <w:p w14:paraId="189DB189" w14:textId="77777777" w:rsidR="00B273C5" w:rsidRDefault="00000000">
      <w:r>
        <w:lastRenderedPageBreak/>
        <w:t>(c) "Site operator" means the owner, property manager, tenant, contractor, or other entity responsible for operation of the system at the permitted property.</w:t>
      </w:r>
    </w:p>
    <w:p w14:paraId="74B0A491" w14:textId="77777777" w:rsidR="00B273C5" w:rsidRDefault="00000000">
      <w:r>
        <w:t>(d) "Vendor" means a person or entity that manufactures, supplies, maintains, controls, or remotely assists the system.</w:t>
      </w:r>
    </w:p>
    <w:p w14:paraId="37A639AD" w14:textId="77777777" w:rsidR="00B273C5" w:rsidRDefault="00000000">
      <w:r>
        <w:t>(e) "Sensitive space" means a sleeping area, patient-care area, treatment area, restricted staff area, or another area identified in the permit as warranting enhanced conditions.</w:t>
      </w:r>
    </w:p>
    <w:p w14:paraId="7EFF6401" w14:textId="77777777" w:rsidR="00B273C5" w:rsidRDefault="00000000">
      <w:r>
        <w:t>(f) "Meaningful human review" means review by a natural person with authority to consider relevant facts, override a system output or recommendation, and make a final decision.</w:t>
      </w:r>
    </w:p>
    <w:p w14:paraId="26AC897A" w14:textId="77777777" w:rsidR="00B273C5" w:rsidRDefault="00000000">
      <w:r>
        <w:t>(g) "Emergency stop" means a readily accessible means of stopping system movement or activity.</w:t>
      </w:r>
    </w:p>
    <w:p w14:paraId="4422E4C3" w14:textId="77777777" w:rsidR="00B273C5" w:rsidRDefault="00000000">
      <w:pPr>
        <w:pStyle w:val="Heading2"/>
      </w:pPr>
      <w:r>
        <w:rPr>
          <w:rFonts w:ascii="Arial" w:eastAsia="Arial" w:hAnsi="Arial"/>
        </w:rPr>
        <w:t>Section 5. Scope and applicability.</w:t>
      </w:r>
    </w:p>
    <w:p w14:paraId="09AEE5B5" w14:textId="77777777" w:rsidR="00B273C5" w:rsidRDefault="00000000">
      <w:r>
        <w:t>The pilot applies to robot-enabled operations in occupied commercial and managed residential properties within Boise city limits. The pilot covers interior operations, common areas, service corridors, garages, loading areas, courtyards, and other private-site areas identified in the permit. Public-right-of-way operations remain subject to applicable state law, highway-district authority, and any additional city approvals that may apply to the right-of-way.</w:t>
      </w:r>
    </w:p>
    <w:p w14:paraId="15AF1491" w14:textId="77777777" w:rsidR="00B273C5" w:rsidRDefault="00000000">
      <w:pPr>
        <w:pStyle w:val="Heading2"/>
      </w:pPr>
      <w:r>
        <w:rPr>
          <w:rFonts w:ascii="Arial" w:eastAsia="Arial" w:hAnsi="Arial"/>
        </w:rPr>
        <w:t>Section 6. Permit required; private-property authorization.</w:t>
      </w:r>
    </w:p>
    <w:p w14:paraId="78B4C0E9" w14:textId="77777777" w:rsidR="00B273C5" w:rsidRDefault="00000000">
      <w:r>
        <w:t>A site operator may conduct robot-enabled operations at a property covered by this ordinance upon obtaining a permit under the pilot. Private-property authorization by the owner or authorized operator is the foundation of the permit. The City shall process applications in a manner that encourages safe deployment and avoids unnecessary delay. The City may issue one permit for a single property, a multi-building campus, or a defined phased deployment area where the application materials support that scope.</w:t>
      </w:r>
    </w:p>
    <w:p w14:paraId="49599A5D" w14:textId="77777777" w:rsidR="00B273C5" w:rsidRDefault="00000000">
      <w:pPr>
        <w:pStyle w:val="Heading2"/>
      </w:pPr>
      <w:r>
        <w:rPr>
          <w:rFonts w:ascii="Arial" w:eastAsia="Arial" w:hAnsi="Arial"/>
        </w:rPr>
        <w:t>Section 7. Risk tiers.</w:t>
      </w:r>
    </w:p>
    <w:p w14:paraId="0D83B509" w14:textId="77777777" w:rsidR="00B273C5" w:rsidRDefault="00000000">
      <w:r>
        <w:t>The City shall assign each application to one of three tiers.</w:t>
      </w:r>
    </w:p>
    <w:p w14:paraId="10C4C62E" w14:textId="77777777" w:rsidR="00B273C5" w:rsidRDefault="00000000">
      <w:r>
        <w:t>(a) Tier 1 covers routine building-operations tasks with limited public interaction and limited collection of identifiable-person data.</w:t>
      </w:r>
    </w:p>
    <w:p w14:paraId="67F3971E" w14:textId="77777777" w:rsidR="00B273C5" w:rsidRDefault="00000000">
      <w:r>
        <w:t>(b) Tier 2 covers operations in common areas or uses involving cameras, microphones, or other sensors likely to capture identifiable-person data, or operations involving repeated interaction with residents, guests, patients, or the public.</w:t>
      </w:r>
    </w:p>
    <w:p w14:paraId="06F953E3" w14:textId="77777777" w:rsidR="00B273C5" w:rsidRDefault="00000000">
      <w:r>
        <w:t>(c) Tier 3 covers employment-related decision influence; operations in sensitive spaces; uses that materially affect access to services, benefits, or rights; or any deployment the reviewing departments determine warrants enhanced review.</w:t>
      </w:r>
    </w:p>
    <w:p w14:paraId="2613D3DA" w14:textId="77777777" w:rsidR="00B273C5" w:rsidRDefault="00000000">
      <w:r>
        <w:t>The City may assign conditions based on the actual use case and may reclassify a permit upon a material change in scope or function.</w:t>
      </w:r>
    </w:p>
    <w:p w14:paraId="61B3285C" w14:textId="77777777" w:rsidR="00B273C5" w:rsidRDefault="00000000">
      <w:pPr>
        <w:pStyle w:val="Heading2"/>
      </w:pPr>
      <w:r>
        <w:rPr>
          <w:rFonts w:ascii="Arial" w:eastAsia="Arial" w:hAnsi="Arial"/>
        </w:rPr>
        <w:t>Section 8. Application contents.</w:t>
      </w:r>
    </w:p>
    <w:p w14:paraId="31204D48" w14:textId="77777777" w:rsidR="00B273C5" w:rsidRDefault="00000000">
      <w:r>
        <w:t>An application shall include, at minimum: site address and description; identity and contact information for the site operator and vendor; description of the system or systems; intended tasks; proposed routes or operating areas; hours of operation; docking and charging locations; a site safety plan; proof of insurance; a privacy statement for Tier 2 and Tier 3 uses; a worker or resident notice plan where applicable; an accessibility statement; and a confidential appendix procedure for proprietary technical materials the applicant seeks to protect under applicable public-records law.</w:t>
      </w:r>
    </w:p>
    <w:p w14:paraId="3F41804C" w14:textId="77777777" w:rsidR="00B273C5" w:rsidRDefault="00000000">
      <w:pPr>
        <w:pStyle w:val="Heading2"/>
      </w:pPr>
      <w:r>
        <w:rPr>
          <w:rFonts w:ascii="Arial" w:eastAsia="Arial" w:hAnsi="Arial"/>
        </w:rPr>
        <w:lastRenderedPageBreak/>
        <w:t>Section 9. Site safety plan.</w:t>
      </w:r>
    </w:p>
    <w:p w14:paraId="4EE3C5D7" w14:textId="77777777" w:rsidR="00B273C5" w:rsidRDefault="00000000">
      <w:r>
        <w:t>Each application shall include a site safety plan describing movement areas, no-go zones, egress protection, speed parameters, manual or remote override, alarm and evacuation procedures, outage procedures, elevator interaction, maintenance windows, battery handling, spill or obstruction response, and responsible contacts. Fire Prevention, Planning and Development Services, and any other reviewing department may require revisions reasonably related to property safety and code compliance.</w:t>
      </w:r>
    </w:p>
    <w:p w14:paraId="1329A7F8" w14:textId="77777777" w:rsidR="00B273C5" w:rsidRDefault="00000000">
      <w:pPr>
        <w:pStyle w:val="Heading2"/>
      </w:pPr>
      <w:r>
        <w:rPr>
          <w:rFonts w:ascii="Arial" w:eastAsia="Arial" w:hAnsi="Arial"/>
        </w:rPr>
        <w:t>Section 10. Accessibility and egress.</w:t>
      </w:r>
    </w:p>
    <w:p w14:paraId="401D86EC" w14:textId="77777777" w:rsidR="00B273C5" w:rsidRDefault="00000000">
      <w:r>
        <w:t>A permit shall issue only after the City finds that the deployment preserves required egress width, accessible routes, required maneuvering clearances, elevator access, and ordinary movement by residents, workers, patients, guests, and emergency personnel. The City may set route restrictions, parking restrictions, time-of-day limits, or no-go areas to preserve safe and accessible site use.</w:t>
      </w:r>
    </w:p>
    <w:p w14:paraId="47CDDD8E" w14:textId="77777777" w:rsidR="00B273C5" w:rsidRDefault="00000000">
      <w:pPr>
        <w:pStyle w:val="Heading2"/>
      </w:pPr>
      <w:r>
        <w:rPr>
          <w:rFonts w:ascii="Arial" w:eastAsia="Arial" w:hAnsi="Arial"/>
        </w:rPr>
        <w:t>Section 11. Human oversight, override, and notice.</w:t>
      </w:r>
    </w:p>
    <w:p w14:paraId="3FB977EA" w14:textId="77777777" w:rsidR="00B273C5" w:rsidRDefault="00000000">
      <w:r>
        <w:t>Every deployed system shall have an emergency stop and a responsible site or remote contact available during operating hours. The permittee shall post clear contact information and reasonable notice at the property describing the presence of robot-enabled operations. Tier 3 permits shall require meaningful human review for any employment-related or other high-impact decision supported by the system.</w:t>
      </w:r>
    </w:p>
    <w:p w14:paraId="493A11FE" w14:textId="77777777" w:rsidR="00B273C5" w:rsidRDefault="00000000">
      <w:pPr>
        <w:pStyle w:val="Heading2"/>
      </w:pPr>
      <w:r>
        <w:rPr>
          <w:rFonts w:ascii="Arial" w:eastAsia="Arial" w:hAnsi="Arial"/>
        </w:rPr>
        <w:t>Section 12. Battery, charging, and fire controls.</w:t>
      </w:r>
    </w:p>
    <w:p w14:paraId="53D109C6" w14:textId="77777777" w:rsidR="00B273C5" w:rsidRDefault="00000000">
      <w:r>
        <w:t>The permittee shall identify charging equipment, battery handling practices, thermal-event procedures, and any required fire-protection measures. The City may require additional fire review, location limits, signage, or operational conditions where charging or battery practices create heightened site risk.</w:t>
      </w:r>
    </w:p>
    <w:p w14:paraId="1570DC3B" w14:textId="77777777" w:rsidR="00B273C5" w:rsidRDefault="00000000">
      <w:pPr>
        <w:pStyle w:val="Heading2"/>
      </w:pPr>
      <w:r>
        <w:rPr>
          <w:rFonts w:ascii="Arial" w:eastAsia="Arial" w:hAnsi="Arial"/>
        </w:rPr>
        <w:t>Section 13. Privacy, records, and confidentiality.</w:t>
      </w:r>
    </w:p>
    <w:p w14:paraId="25BD7B1B" w14:textId="77777777" w:rsidR="00B273C5" w:rsidRDefault="00000000">
      <w:r>
        <w:t>Tier 2 and Tier 3 permits shall include a concise privacy statement identifying the system’s sensors, the categories of data collected, operational purposes, retention limits, access controls, complaint contact, and any disclosure practices required by law. A permittee may submit proprietary technical materials in a confidential appendix with a written explanation supporting confidential treatment under applicable law, together with a public summary sufficient to explain the operational and safety-relevant features of the deployment.</w:t>
      </w:r>
    </w:p>
    <w:p w14:paraId="71289312" w14:textId="77777777" w:rsidR="00B273C5" w:rsidRDefault="00000000">
      <w:pPr>
        <w:pStyle w:val="Heading2"/>
      </w:pPr>
      <w:r>
        <w:rPr>
          <w:rFonts w:ascii="Arial" w:eastAsia="Arial" w:hAnsi="Arial"/>
        </w:rPr>
        <w:t>Section 14. Employment-related and other sensitive uses.</w:t>
      </w:r>
    </w:p>
    <w:p w14:paraId="3C9F18B1" w14:textId="77777777" w:rsidR="00B273C5" w:rsidRDefault="00000000">
      <w:r>
        <w:t>Any system that materially informs hiring, scheduling, assignments, discipline, productivity scoring, termination, or another employment decision shall be treated as a Tier 3 use. A permit for such a use shall require meaningful human review, notice to affected workers, and a process for review or appeal by the affected worker. The City may also require heightened conditions for operations in sensitive spaces such as sleeping areas, treatment areas, or patient-care areas.</w:t>
      </w:r>
    </w:p>
    <w:p w14:paraId="3E832195" w14:textId="77777777" w:rsidR="00B273C5" w:rsidRDefault="00000000">
      <w:pPr>
        <w:pStyle w:val="Heading2"/>
      </w:pPr>
      <w:r>
        <w:rPr>
          <w:rFonts w:ascii="Arial" w:eastAsia="Arial" w:hAnsi="Arial"/>
        </w:rPr>
        <w:t>Section 15. Vendor accountability, insurance, and indemnity.</w:t>
      </w:r>
    </w:p>
    <w:p w14:paraId="47AC1E74" w14:textId="77777777" w:rsidR="00B273C5" w:rsidRDefault="00000000">
      <w:r>
        <w:t>The permittee shall maintain commercial general liability insurance in an amount established by rule or permit condition, identify the insured parties, and provide proof of coverage before operations begin. The permit shall identify the responsible site operator and the relevant vendor or vendors. The City may require indemnity provisions reasonably related to claims arising from the permitted operations.</w:t>
      </w:r>
    </w:p>
    <w:p w14:paraId="3119335D" w14:textId="77777777" w:rsidR="00B273C5" w:rsidRDefault="00000000">
      <w:pPr>
        <w:pStyle w:val="Heading2"/>
      </w:pPr>
      <w:r>
        <w:rPr>
          <w:rFonts w:ascii="Arial" w:eastAsia="Arial" w:hAnsi="Arial"/>
        </w:rPr>
        <w:t>Section 16. Complaint handling and city response.</w:t>
      </w:r>
    </w:p>
    <w:p w14:paraId="2ED44DDA" w14:textId="77777777" w:rsidR="00B273C5" w:rsidRDefault="00000000">
      <w:r>
        <w:t>The permittee shall maintain a public complaint contact and shall document complaints received regarding safety, blocked access, privacy, malfunction, or other site impacts. The City shall maintain a process for receiving complaints directly and may require corrective action where a complaint reveals a material permit violation or site risk.</w:t>
      </w:r>
    </w:p>
    <w:p w14:paraId="21BB8096" w14:textId="77777777" w:rsidR="00B273C5" w:rsidRDefault="00000000">
      <w:pPr>
        <w:pStyle w:val="Heading2"/>
      </w:pPr>
      <w:r>
        <w:rPr>
          <w:rFonts w:ascii="Arial" w:eastAsia="Arial" w:hAnsi="Arial"/>
        </w:rPr>
        <w:lastRenderedPageBreak/>
        <w:t>Section 17. Inspection, cure, suspension, reactivation, and appeal.</w:t>
      </w:r>
    </w:p>
    <w:p w14:paraId="3140AC8C" w14:textId="77777777" w:rsidR="00B273C5" w:rsidRDefault="00000000">
      <w:r>
        <w:t>The City may inspect a permitted deployment for compliance with permit conditions and applicable code requirements. Upon finding a violation, the City may issue a notice to cure within a reasonable period. The City may impose immediate temporary suspension when continued operation presents a material life-safety, accessibility, or privacy risk. A permittee may seek reactivation upon curing the identified condition and may appeal an adverse administrative decision through the process designated by the City.</w:t>
      </w:r>
    </w:p>
    <w:p w14:paraId="1928373A" w14:textId="77777777" w:rsidR="00B273C5" w:rsidRDefault="00000000">
      <w:pPr>
        <w:pStyle w:val="Heading2"/>
      </w:pPr>
      <w:r>
        <w:rPr>
          <w:rFonts w:ascii="Arial" w:eastAsia="Arial" w:hAnsi="Arial"/>
        </w:rPr>
        <w:t>Section 18. Annual reporting.</w:t>
      </w:r>
    </w:p>
    <w:p w14:paraId="36DB60AC" w14:textId="77777777" w:rsidR="00B273C5" w:rsidRDefault="00000000">
      <w:r>
        <w:t>Each permittee shall submit an annual report summarizing deployment status, incidents, complaints, accessibility issues, and material changes in operation. The City shall prepare a public annual pilot report for Council summarizing permit activity, reported incidents, complaints, accessibility observations, and recommended code changes. The report may protect confidential business information to the extent permitted by law.</w:t>
      </w:r>
    </w:p>
    <w:p w14:paraId="19186D98" w14:textId="77777777" w:rsidR="00B273C5" w:rsidRDefault="00000000">
      <w:pPr>
        <w:pStyle w:val="Heading2"/>
      </w:pPr>
      <w:r>
        <w:rPr>
          <w:rFonts w:ascii="Arial" w:eastAsia="Arial" w:hAnsi="Arial"/>
        </w:rPr>
        <w:t>Section 19. Sunset and evaluation.</w:t>
      </w:r>
    </w:p>
    <w:p w14:paraId="59312228" w14:textId="77777777" w:rsidR="00B273C5" w:rsidRDefault="00000000">
      <w:r>
        <w:t>The pilot expires three years after the effective date unless renewed or codified by Council. At least one annual report shall reach Council before the final evaluation. Council may renew the pilot, amend the ordinance, or adopt permanent code language based on the operating record developed under the pilot.</w:t>
      </w:r>
    </w:p>
    <w:p w14:paraId="4CF82C60" w14:textId="77777777" w:rsidR="00B273C5" w:rsidRDefault="00000000">
      <w:pPr>
        <w:pStyle w:val="Heading2"/>
      </w:pPr>
      <w:r>
        <w:rPr>
          <w:rFonts w:ascii="Arial" w:eastAsia="Arial" w:hAnsi="Arial"/>
        </w:rPr>
        <w:t>Section 20. Severability and effective date.</w:t>
      </w:r>
    </w:p>
    <w:p w14:paraId="67CB4287" w14:textId="77777777" w:rsidR="00B273C5" w:rsidRDefault="00000000">
      <w:r>
        <w:t>If any provision or application of the ordinance is held invalid, the remaining provisions and applications remain in force. The ordinance takes effect on the date specified in the adopting resolution or ordinance.</w:t>
      </w:r>
    </w:p>
    <w:p w14:paraId="7BC42535" w14:textId="77777777" w:rsidR="00B273C5" w:rsidRDefault="00000000">
      <w:pPr>
        <w:pStyle w:val="Heading1"/>
      </w:pPr>
      <w:r>
        <w:rPr>
          <w:rFonts w:ascii="Arial" w:eastAsia="Arial" w:hAnsi="Arial"/>
        </w:rPr>
        <w:t>Source Appendix</w:t>
      </w:r>
    </w:p>
    <w:p w14:paraId="2ED45F3C" w14:textId="77777777" w:rsidR="00B273C5" w:rsidRDefault="00000000">
      <w:r>
        <w:t>Primary city and state materials appear first. Official workforce, safety, and operational guidance follows. Live deployment sources appear last.</w:t>
      </w:r>
    </w:p>
    <w:p w14:paraId="245659BD" w14:textId="77777777" w:rsidR="00B273C5" w:rsidRDefault="00000000">
      <w:pPr>
        <w:pStyle w:val="Heading2"/>
      </w:pPr>
      <w:r>
        <w:rPr>
          <w:rFonts w:ascii="Arial" w:eastAsia="Arial" w:hAnsi="Arial"/>
        </w:rPr>
        <w:t>Primary Boise and city-governance sources</w:t>
      </w:r>
    </w:p>
    <w:p w14:paraId="1FBD7271" w14:textId="77777777" w:rsidR="00B273C5" w:rsidRDefault="00000000">
      <w:pPr>
        <w:ind w:left="144" w:hanging="144"/>
      </w:pPr>
      <w:r>
        <w:rPr>
          <w:b/>
        </w:rPr>
        <w:t xml:space="preserve">1. </w:t>
      </w:r>
      <w:r>
        <w:t>City of Boise, 4.30q City Use of Artificial Intelligence (AI) - Regulation, updated January 26, 2026.</w:t>
      </w:r>
    </w:p>
    <w:p w14:paraId="41DC172B" w14:textId="77777777" w:rsidR="00B273C5" w:rsidRDefault="00000000">
      <w:pPr>
        <w:ind w:left="144" w:hanging="144"/>
      </w:pPr>
      <w:r>
        <w:rPr>
          <w:b/>
        </w:rPr>
        <w:t xml:space="preserve">2. </w:t>
      </w:r>
      <w:r>
        <w:t>City of Boise, 301 - Current Codes.</w:t>
      </w:r>
    </w:p>
    <w:p w14:paraId="3371965A" w14:textId="77777777" w:rsidR="00B273C5" w:rsidRDefault="00000000">
      <w:pPr>
        <w:ind w:left="144" w:hanging="144"/>
      </w:pPr>
      <w:r>
        <w:rPr>
          <w:b/>
        </w:rPr>
        <w:t xml:space="preserve">3. </w:t>
      </w:r>
      <w:r>
        <w:t>City of Boise Fire Prevention, Plan Review; Fire Prevention overview; residential fire code review exemption policy (current as of March 2026).</w:t>
      </w:r>
    </w:p>
    <w:p w14:paraId="27A1CA59" w14:textId="77777777" w:rsidR="00B273C5" w:rsidRDefault="00000000">
      <w:pPr>
        <w:ind w:left="144" w:hanging="144"/>
      </w:pPr>
      <w:r>
        <w:rPr>
          <w:b/>
        </w:rPr>
        <w:t xml:space="preserve">4. </w:t>
      </w:r>
      <w:r>
        <w:t>City of Boise, Building Permits and related permit pages.</w:t>
      </w:r>
    </w:p>
    <w:p w14:paraId="04DC6F09" w14:textId="77777777" w:rsidR="00B273C5" w:rsidRDefault="00000000">
      <w:pPr>
        <w:ind w:left="144" w:hanging="144"/>
      </w:pPr>
      <w:r>
        <w:rPr>
          <w:b/>
        </w:rPr>
        <w:t xml:space="preserve">5. </w:t>
      </w:r>
      <w:r>
        <w:t>City of Austin, staff memo on AI governance and workforce protections, December 23, 2025.</w:t>
      </w:r>
    </w:p>
    <w:p w14:paraId="179C5050" w14:textId="77777777" w:rsidR="00B273C5" w:rsidRDefault="00000000">
      <w:pPr>
        <w:ind w:left="144" w:hanging="144"/>
      </w:pPr>
      <w:r>
        <w:rPr>
          <w:b/>
        </w:rPr>
        <w:t xml:space="preserve">6. </w:t>
      </w:r>
      <w:r>
        <w:t>City of Riverside, press release on personal delivery device ordinance action, January 16, 2026.</w:t>
      </w:r>
    </w:p>
    <w:p w14:paraId="62C1CEB3" w14:textId="77777777" w:rsidR="00B273C5" w:rsidRDefault="00000000">
      <w:pPr>
        <w:ind w:left="144" w:hanging="144"/>
      </w:pPr>
      <w:r>
        <w:rPr>
          <w:b/>
        </w:rPr>
        <w:t xml:space="preserve">7. </w:t>
      </w:r>
      <w:r>
        <w:t>City of Fremont, DoorDash phased rollout announcement, March 3, 2026.</w:t>
      </w:r>
    </w:p>
    <w:p w14:paraId="4023875D" w14:textId="77777777" w:rsidR="00B273C5" w:rsidRDefault="00000000">
      <w:pPr>
        <w:pStyle w:val="Heading2"/>
      </w:pPr>
      <w:r>
        <w:rPr>
          <w:rFonts w:ascii="Arial" w:eastAsia="Arial" w:hAnsi="Arial"/>
        </w:rPr>
        <w:t>State framework and sponsor-document analogs</w:t>
      </w:r>
    </w:p>
    <w:p w14:paraId="2E0CC890" w14:textId="77777777" w:rsidR="00B273C5" w:rsidRDefault="00000000">
      <w:pPr>
        <w:ind w:left="144" w:hanging="144"/>
      </w:pPr>
      <w:r>
        <w:rPr>
          <w:b/>
        </w:rPr>
        <w:t xml:space="preserve">8. </w:t>
      </w:r>
      <w:r>
        <w:t>Utah HB 101, Autonomous Vehicle Regulations, 2019 General Session.</w:t>
      </w:r>
    </w:p>
    <w:p w14:paraId="3B77049E" w14:textId="77777777" w:rsidR="00B273C5" w:rsidRDefault="00000000">
      <w:pPr>
        <w:ind w:left="144" w:hanging="144"/>
      </w:pPr>
      <w:r>
        <w:rPr>
          <w:b/>
        </w:rPr>
        <w:t xml:space="preserve">9. </w:t>
      </w:r>
      <w:r>
        <w:t>Utah Department of Commerce, Office of Artificial Intelligence Policy, AI Learning Lab materials.</w:t>
      </w:r>
    </w:p>
    <w:p w14:paraId="5FF9061A" w14:textId="77777777" w:rsidR="00B273C5" w:rsidRDefault="00000000">
      <w:pPr>
        <w:ind w:left="144" w:hanging="144"/>
      </w:pPr>
      <w:r>
        <w:rPr>
          <w:b/>
        </w:rPr>
        <w:t xml:space="preserve">10. </w:t>
      </w:r>
      <w:r>
        <w:t>Arizona HB 2813 House Bill Summary; Arizona HB 2813 Senate Fact Sheet; Arizona legislative summary materials.</w:t>
      </w:r>
    </w:p>
    <w:p w14:paraId="6F6BF214" w14:textId="77777777" w:rsidR="00B273C5" w:rsidRDefault="00000000">
      <w:pPr>
        <w:ind w:left="144" w:hanging="144"/>
      </w:pPr>
      <w:r>
        <w:rPr>
          <w:b/>
        </w:rPr>
        <w:t xml:space="preserve">11. </w:t>
      </w:r>
      <w:r>
        <w:t>Texas SB 2807 enrolled bill text, sponsor statement of intent / bill analysis, House Journal vote, Senate Journal vote.</w:t>
      </w:r>
    </w:p>
    <w:p w14:paraId="1B32D2EB" w14:textId="77777777" w:rsidR="00B273C5" w:rsidRDefault="00000000">
      <w:pPr>
        <w:ind w:left="144" w:hanging="144"/>
      </w:pPr>
      <w:r>
        <w:rPr>
          <w:b/>
        </w:rPr>
        <w:lastRenderedPageBreak/>
        <w:t xml:space="preserve">12. </w:t>
      </w:r>
      <w:r>
        <w:t>Texas Department of Motor Vehicles, Automated Vehicle Program.</w:t>
      </w:r>
    </w:p>
    <w:p w14:paraId="07D23959" w14:textId="77777777" w:rsidR="00B273C5" w:rsidRDefault="00000000">
      <w:pPr>
        <w:pStyle w:val="Heading2"/>
      </w:pPr>
      <w:r>
        <w:rPr>
          <w:rFonts w:ascii="Arial" w:eastAsia="Arial" w:hAnsi="Arial"/>
        </w:rPr>
        <w:t>Federal workplace and risk-governance sources</w:t>
      </w:r>
    </w:p>
    <w:p w14:paraId="26EEB2BF" w14:textId="77777777" w:rsidR="00B273C5" w:rsidRDefault="00000000">
      <w:pPr>
        <w:ind w:left="144" w:hanging="144"/>
      </w:pPr>
      <w:r>
        <w:rPr>
          <w:b/>
        </w:rPr>
        <w:t xml:space="preserve">13. </w:t>
      </w:r>
      <w:r>
        <w:t>Occupational Safety and Health Administration, Robotics overview, standards, hazard-recognition, hazard-evaluation, and robotics-safety materials.</w:t>
      </w:r>
    </w:p>
    <w:p w14:paraId="2E4C11B2" w14:textId="77777777" w:rsidR="00B273C5" w:rsidRDefault="00000000">
      <w:pPr>
        <w:ind w:left="144" w:hanging="144"/>
      </w:pPr>
      <w:r>
        <w:rPr>
          <w:b/>
        </w:rPr>
        <w:t xml:space="preserve">14. </w:t>
      </w:r>
      <w:r>
        <w:t>Equal Employment Opportunity Commission, Artificial Intelligence and the ADA.</w:t>
      </w:r>
    </w:p>
    <w:p w14:paraId="374F9801" w14:textId="77777777" w:rsidR="00B273C5" w:rsidRDefault="00000000">
      <w:pPr>
        <w:ind w:left="144" w:hanging="144"/>
      </w:pPr>
      <w:r>
        <w:rPr>
          <w:b/>
        </w:rPr>
        <w:t xml:space="preserve">15. </w:t>
      </w:r>
      <w:r>
        <w:t>U.S. Department of Labor, AI and Worker Well-Being principles and 2024 AI best-practices roadmap.</w:t>
      </w:r>
    </w:p>
    <w:p w14:paraId="03873D00" w14:textId="77777777" w:rsidR="00B273C5" w:rsidRDefault="00000000">
      <w:pPr>
        <w:ind w:left="144" w:hanging="144"/>
      </w:pPr>
      <w:r>
        <w:rPr>
          <w:b/>
        </w:rPr>
        <w:t xml:space="preserve">16. </w:t>
      </w:r>
      <w:r>
        <w:t>National Institute of Standards and Technology, AI Risk Management Framework and AI RMF Playbook.</w:t>
      </w:r>
    </w:p>
    <w:p w14:paraId="763BEC48" w14:textId="77777777" w:rsidR="00B273C5" w:rsidRDefault="00000000">
      <w:pPr>
        <w:pStyle w:val="Heading2"/>
      </w:pPr>
      <w:r>
        <w:rPr>
          <w:rFonts w:ascii="Arial" w:eastAsia="Arial" w:hAnsi="Arial"/>
        </w:rPr>
        <w:t>Actual successful use-case sources</w:t>
      </w:r>
    </w:p>
    <w:p w14:paraId="73E48AB4" w14:textId="77777777" w:rsidR="00B273C5" w:rsidRDefault="00000000">
      <w:pPr>
        <w:ind w:left="144" w:hanging="144"/>
      </w:pPr>
      <w:r>
        <w:rPr>
          <w:b/>
        </w:rPr>
        <w:t xml:space="preserve">17. </w:t>
      </w:r>
      <w:r>
        <w:t>Diligent Robotics, Moxi deployment materials reporting 25+ hospital facilities and 1.25M+ deliveries.</w:t>
      </w:r>
    </w:p>
    <w:p w14:paraId="21AA01AC" w14:textId="77777777" w:rsidR="00B273C5" w:rsidRDefault="00000000">
      <w:pPr>
        <w:ind w:left="144" w:hanging="144"/>
      </w:pPr>
      <w:r>
        <w:rPr>
          <w:b/>
        </w:rPr>
        <w:t xml:space="preserve">18. </w:t>
      </w:r>
      <w:r>
        <w:t>Relay Robotics, hospital and hotel deployment materials; delivery statistics; elevator and hallway operations.</w:t>
      </w:r>
    </w:p>
    <w:p w14:paraId="120ED4B7" w14:textId="77777777" w:rsidR="00B273C5" w:rsidRDefault="00000000">
      <w:pPr>
        <w:ind w:left="144" w:hanging="144"/>
      </w:pPr>
      <w:r>
        <w:rPr>
          <w:b/>
        </w:rPr>
        <w:t xml:space="preserve">19. </w:t>
      </w:r>
      <w:r>
        <w:t>Starship Technologies, university-campus deployment materials and delivery statistics.</w:t>
      </w:r>
    </w:p>
    <w:p w14:paraId="5E0330EB" w14:textId="77777777" w:rsidR="00B273C5" w:rsidRDefault="00000000">
      <w:pPr>
        <w:ind w:left="144" w:hanging="144"/>
      </w:pPr>
      <w:r>
        <w:rPr>
          <w:b/>
        </w:rPr>
        <w:t xml:space="preserve">20. </w:t>
      </w:r>
      <w:r>
        <w:t>University of Utah Housing &amp; Dining, Starship dining-delivery information.</w:t>
      </w:r>
    </w:p>
    <w:p w14:paraId="3B78894E" w14:textId="77777777" w:rsidR="00B273C5" w:rsidRDefault="00000000">
      <w:pPr>
        <w:ind w:left="144" w:hanging="144"/>
      </w:pPr>
      <w:r>
        <w:rPr>
          <w:b/>
        </w:rPr>
        <w:t xml:space="preserve">21. </w:t>
      </w:r>
      <w:r>
        <w:t>Arizona State University news, Starship food-delivery service on campus.</w:t>
      </w:r>
    </w:p>
    <w:p w14:paraId="1A383853" w14:textId="77777777" w:rsidR="00B273C5" w:rsidRDefault="00000000">
      <w:pPr>
        <w:ind w:left="144" w:hanging="144"/>
      </w:pPr>
      <w:r>
        <w:rPr>
          <w:b/>
        </w:rPr>
        <w:t xml:space="preserve">22. </w:t>
      </w:r>
      <w:r>
        <w:t>DoorDash, Dot announcement and product page for Tempe / Mesa launch and ongoing Phoenix expansion.</w:t>
      </w:r>
    </w:p>
    <w:p w14:paraId="79D58A76" w14:textId="77777777" w:rsidR="00B273C5" w:rsidRDefault="00000000">
      <w:pPr>
        <w:ind w:left="144" w:hanging="144"/>
      </w:pPr>
      <w:r>
        <w:rPr>
          <w:b/>
        </w:rPr>
        <w:t xml:space="preserve">23. </w:t>
      </w:r>
      <w:r>
        <w:t>Direct Supply, Sabra senior-living robotics case study materials.</w:t>
      </w:r>
    </w:p>
    <w:p w14:paraId="102DC78F" w14:textId="77777777" w:rsidR="00B273C5" w:rsidRDefault="00000000">
      <w:pPr>
        <w:ind w:left="144" w:hanging="144"/>
      </w:pPr>
      <w:r>
        <w:rPr>
          <w:b/>
        </w:rPr>
        <w:t xml:space="preserve">24. </w:t>
      </w:r>
      <w:r>
        <w:t>Amazon, robotics deployment materials including Sequoia in Houston and one-millionth-robot milestone.</w:t>
      </w:r>
    </w:p>
    <w:p w14:paraId="474D61A3" w14:textId="77777777" w:rsidR="00B273C5" w:rsidRDefault="00000000">
      <w:pPr>
        <w:ind w:left="144" w:hanging="144"/>
      </w:pPr>
      <w:r>
        <w:rPr>
          <w:b/>
        </w:rPr>
        <w:t xml:space="preserve">25. </w:t>
      </w:r>
      <w:r>
        <w:t>Tesla AI page and Tesla Q4 / FY 2025 Update for Optimus task framing and production timing.</w:t>
      </w:r>
    </w:p>
    <w:sectPr w:rsidR="00B273C5" w:rsidSect="00034616">
      <w:footerReference w:type="default" r:id="rId8"/>
      <w:pgSz w:w="12240" w:h="15840"/>
      <w:pgMar w:top="1224" w:right="1296" w:bottom="1080" w:left="1296"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B863" w14:textId="77777777" w:rsidR="00A043DF" w:rsidRDefault="00A043DF">
      <w:pPr>
        <w:spacing w:after="0" w:line="240" w:lineRule="auto"/>
      </w:pPr>
      <w:r>
        <w:separator/>
      </w:r>
    </w:p>
  </w:endnote>
  <w:endnote w:type="continuationSeparator" w:id="0">
    <w:p w14:paraId="2B76B686" w14:textId="77777777" w:rsidR="00A043DF" w:rsidRDefault="00A0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6A84" w14:textId="77777777" w:rsidR="00B273C5" w:rsidRDefault="00000000">
    <w:pPr>
      <w:jc w:val="right"/>
    </w:pPr>
    <w:r>
      <w:rPr>
        <w:color w:val="5A5A5A"/>
        <w:sz w:val="18"/>
      </w:rPr>
      <w:t xml:space="preserve">Boise Robot-Enabled Operations Pilot Ordinance  |  Page </w:t>
    </w:r>
    <w:r>
      <w:fldChar w:fldCharType="begin"/>
    </w:r>
    <w:r>
      <w:instrText>PAGE</w:instrText>
    </w:r>
    <w:r w:rsidR="005D7558">
      <w:fldChar w:fldCharType="separate"/>
    </w:r>
    <w:r w:rsidR="005D75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A3DF" w14:textId="77777777" w:rsidR="00A043DF" w:rsidRDefault="00A043DF">
      <w:pPr>
        <w:spacing w:after="0" w:line="240" w:lineRule="auto"/>
      </w:pPr>
      <w:r>
        <w:separator/>
      </w:r>
    </w:p>
  </w:footnote>
  <w:footnote w:type="continuationSeparator" w:id="0">
    <w:p w14:paraId="04261025" w14:textId="77777777" w:rsidR="00A043DF" w:rsidRDefault="00A04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4625655">
    <w:abstractNumId w:val="8"/>
  </w:num>
  <w:num w:numId="2" w16cid:durableId="1804612827">
    <w:abstractNumId w:val="6"/>
  </w:num>
  <w:num w:numId="3" w16cid:durableId="1812139391">
    <w:abstractNumId w:val="5"/>
  </w:num>
  <w:num w:numId="4" w16cid:durableId="263877364">
    <w:abstractNumId w:val="4"/>
  </w:num>
  <w:num w:numId="5" w16cid:durableId="616448969">
    <w:abstractNumId w:val="7"/>
  </w:num>
  <w:num w:numId="6" w16cid:durableId="2021346773">
    <w:abstractNumId w:val="3"/>
  </w:num>
  <w:num w:numId="7" w16cid:durableId="1919359573">
    <w:abstractNumId w:val="2"/>
  </w:num>
  <w:num w:numId="8" w16cid:durableId="1167597685">
    <w:abstractNumId w:val="1"/>
  </w:num>
  <w:num w:numId="9" w16cid:durableId="7297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7558"/>
    <w:rsid w:val="00A043DF"/>
    <w:rsid w:val="00AA1D8D"/>
    <w:rsid w:val="00B273C5"/>
    <w:rsid w:val="00B47730"/>
    <w:rsid w:val="00CB0664"/>
    <w:rsid w:val="00FC693F"/>
    <w:rsid w:val="00FF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D6D9"/>
  <w14:defaultImageDpi w14:val="300"/>
  <w15:docId w15:val="{84FE70F3-3BDE-4D01-A2F4-DE4C3E64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Cs/>
      <w:color w:val="50505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5819</Words>
  <Characters>36371</Characters>
  <Application>Microsoft Office Word</Application>
  <DocSecurity>0</DocSecurity>
  <Lines>586</Lines>
  <Paragraphs>260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Wood</cp:lastModifiedBy>
  <cp:revision>2</cp:revision>
  <dcterms:created xsi:type="dcterms:W3CDTF">2026-03-19T21:42:00Z</dcterms:created>
  <dcterms:modified xsi:type="dcterms:W3CDTF">2026-03-19T21:42:00Z</dcterms:modified>
  <cp:category/>
</cp:coreProperties>
</file>